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50F2F" w:rsidRPr="00E02DF8" w:rsidRDefault="00E50F2F" w:rsidP="00E50F2F">
      <w:pPr>
        <w:spacing w:after="0" w:line="240" w:lineRule="auto"/>
        <w:jc w:val="both"/>
        <w:rPr>
          <w:rFonts w:ascii="Arial" w:eastAsia="Times New Roman" w:hAnsi="Arial" w:cs="Arial"/>
          <w:color w:val="000000" w:themeColor="text1"/>
          <w:kern w:val="0"/>
          <w:lang w:eastAsia="en-GB"/>
          <w14:ligatures w14:val="none"/>
        </w:rPr>
      </w:pPr>
      <w:r w:rsidRPr="00E02DF8">
        <w:rPr>
          <w:rFonts w:ascii="Arial" w:eastAsia="Times New Roman" w:hAnsi="Arial" w:cs="Arial"/>
          <w:b/>
          <w:bCs/>
          <w:color w:val="000000" w:themeColor="text1"/>
          <w:kern w:val="0"/>
          <w:sz w:val="22"/>
          <w:szCs w:val="22"/>
          <w:lang w:eastAsia="en-GB"/>
          <w14:ligatures w14:val="none"/>
        </w:rPr>
        <w:t xml:space="preserve">Template for an overview of the standards reports </w:t>
      </w:r>
      <w:r w:rsidRPr="00E02DF8">
        <w:rPr>
          <w:rFonts w:ascii="Arial" w:eastAsia="Times New Roman" w:hAnsi="Arial" w:cs="Arial"/>
          <w:b/>
          <w:bCs/>
          <w:color w:val="000000" w:themeColor="text1"/>
          <w:kern w:val="0"/>
          <w:sz w:val="22"/>
          <w:szCs w:val="22"/>
          <w:vertAlign w:val="superscript"/>
          <w:lang w:eastAsia="en-GB"/>
          <w14:ligatures w14:val="none"/>
        </w:rPr>
        <w:t>1</w:t>
      </w:r>
    </w:p>
    <w:tbl>
      <w:tblPr>
        <w:tblW w:w="0" w:type="auto"/>
        <w:tblCellMar>
          <w:top w:w="15" w:type="dxa"/>
          <w:left w:w="15" w:type="dxa"/>
          <w:bottom w:w="15" w:type="dxa"/>
          <w:right w:w="15" w:type="dxa"/>
        </w:tblCellMar>
        <w:tblLook w:val="04A0" w:firstRow="1" w:lastRow="0" w:firstColumn="1" w:lastColumn="0" w:noHBand="0" w:noVBand="1"/>
      </w:tblPr>
      <w:tblGrid>
        <w:gridCol w:w="1794"/>
        <w:gridCol w:w="479"/>
        <w:gridCol w:w="3671"/>
        <w:gridCol w:w="3062"/>
      </w:tblGrid>
      <w:tr w:rsidR="00E50F2F" w:rsidRPr="00E02DF8" w:rsidTr="00E50F2F">
        <w:tc>
          <w:tcPr>
            <w:tcW w:w="0" w:type="auto"/>
            <w:tcBorders>
              <w:top w:val="single" w:sz="4" w:space="0" w:color="000000" w:themeColor="text1"/>
              <w:left w:val="single" w:sz="8" w:space="0" w:color="FFFFFF"/>
              <w:bottom w:val="single" w:sz="4" w:space="0" w:color="000000" w:themeColor="text1"/>
            </w:tcBorders>
            <w:tcMar>
              <w:top w:w="64" w:type="dxa"/>
              <w:left w:w="64" w:type="dxa"/>
              <w:bottom w:w="64" w:type="dxa"/>
              <w:right w:w="64" w:type="dxa"/>
            </w:tcMar>
            <w:hideMark/>
          </w:tcPr>
          <w:p w:rsidR="00E50F2F" w:rsidRPr="00E02DF8" w:rsidRDefault="00E50F2F" w:rsidP="00E50F2F">
            <w:pPr>
              <w:spacing w:after="0" w:line="240" w:lineRule="auto"/>
              <w:rPr>
                <w:rFonts w:ascii="Arial" w:eastAsia="Times New Roman" w:hAnsi="Arial" w:cs="Arial"/>
                <w:kern w:val="0"/>
                <w:lang w:eastAsia="en-GB"/>
                <w14:ligatures w14:val="none"/>
              </w:rPr>
            </w:pPr>
            <w:r w:rsidRPr="00E02DF8">
              <w:rPr>
                <w:rFonts w:ascii="Arial" w:eastAsia="Times New Roman" w:hAnsi="Arial" w:cs="Arial"/>
                <w:b/>
                <w:bCs/>
                <w:color w:val="000000"/>
                <w:kern w:val="0"/>
                <w:sz w:val="18"/>
                <w:szCs w:val="18"/>
                <w:lang w:eastAsia="en-GB"/>
                <w14:ligatures w14:val="none"/>
              </w:rPr>
              <w:t xml:space="preserve"> Group</w:t>
            </w:r>
          </w:p>
        </w:tc>
        <w:tc>
          <w:tcPr>
            <w:tcW w:w="0" w:type="auto"/>
            <w:tcBorders>
              <w:top w:val="single" w:sz="8" w:space="0" w:color="B7B7B7"/>
              <w:bottom w:val="single" w:sz="8" w:space="0" w:color="B7B7B7"/>
            </w:tcBorders>
            <w:tcMar>
              <w:top w:w="64" w:type="dxa"/>
              <w:left w:w="64" w:type="dxa"/>
              <w:bottom w:w="64" w:type="dxa"/>
              <w:right w:w="64" w:type="dxa"/>
            </w:tcMar>
            <w:hideMark/>
          </w:tcPr>
          <w:p w:rsidR="00E50F2F" w:rsidRPr="00E02DF8" w:rsidRDefault="00E50F2F" w:rsidP="00E50F2F">
            <w:pPr>
              <w:spacing w:after="0" w:line="240" w:lineRule="auto"/>
              <w:jc w:val="center"/>
              <w:rPr>
                <w:rFonts w:ascii="Arial" w:eastAsia="Times New Roman" w:hAnsi="Arial" w:cs="Arial"/>
                <w:kern w:val="0"/>
                <w:lang w:eastAsia="en-GB"/>
                <w14:ligatures w14:val="none"/>
              </w:rPr>
            </w:pPr>
            <w:r w:rsidRPr="00E02DF8">
              <w:rPr>
                <w:rFonts w:ascii="Arial" w:eastAsia="Times New Roman" w:hAnsi="Arial" w:cs="Arial"/>
                <w:b/>
                <w:bCs/>
                <w:color w:val="000000"/>
                <w:kern w:val="0"/>
                <w:sz w:val="18"/>
                <w:szCs w:val="18"/>
                <w:lang w:eastAsia="en-GB"/>
                <w14:ligatures w14:val="none"/>
              </w:rPr>
              <w:t>#</w:t>
            </w:r>
          </w:p>
        </w:tc>
        <w:tc>
          <w:tcPr>
            <w:tcW w:w="3671" w:type="dxa"/>
            <w:tcBorders>
              <w:top w:val="single" w:sz="8" w:space="0" w:color="B7B7B7"/>
              <w:bottom w:val="single" w:sz="8" w:space="0" w:color="B7B7B7"/>
              <w:right w:val="single" w:sz="8" w:space="0" w:color="FFFFFF"/>
            </w:tcBorders>
            <w:tcMar>
              <w:top w:w="64" w:type="dxa"/>
              <w:left w:w="64" w:type="dxa"/>
              <w:bottom w:w="64" w:type="dxa"/>
              <w:right w:w="64" w:type="dxa"/>
            </w:tcMar>
            <w:hideMark/>
          </w:tcPr>
          <w:p w:rsidR="00E50F2F" w:rsidRPr="00E02DF8" w:rsidRDefault="00E50F2F" w:rsidP="00E50F2F">
            <w:pPr>
              <w:spacing w:after="0" w:line="240" w:lineRule="auto"/>
              <w:rPr>
                <w:rFonts w:ascii="Arial" w:eastAsia="Times New Roman" w:hAnsi="Arial" w:cs="Arial"/>
                <w:kern w:val="0"/>
                <w:lang w:eastAsia="en-GB"/>
                <w14:ligatures w14:val="none"/>
              </w:rPr>
            </w:pPr>
            <w:r w:rsidRPr="00E02DF8">
              <w:rPr>
                <w:rFonts w:ascii="Arial" w:eastAsia="Times New Roman" w:hAnsi="Arial" w:cs="Arial"/>
                <w:b/>
                <w:bCs/>
                <w:color w:val="000000"/>
                <w:kern w:val="0"/>
                <w:sz w:val="18"/>
                <w:szCs w:val="18"/>
                <w:lang w:eastAsia="en-GB"/>
                <w14:ligatures w14:val="none"/>
              </w:rPr>
              <w:t>Standards</w:t>
            </w:r>
          </w:p>
        </w:tc>
        <w:tc>
          <w:tcPr>
            <w:tcW w:w="3062" w:type="dxa"/>
            <w:tcBorders>
              <w:top w:val="single" w:sz="8" w:space="0" w:color="B7B7B7"/>
              <w:left w:val="single" w:sz="8" w:space="0" w:color="FFFFFF"/>
              <w:bottom w:val="single" w:sz="8" w:space="0" w:color="B7B7B7"/>
              <w:right w:val="single" w:sz="8" w:space="0" w:color="FFFFFF"/>
            </w:tcBorders>
            <w:tcMar>
              <w:top w:w="64" w:type="dxa"/>
              <w:left w:w="64" w:type="dxa"/>
              <w:bottom w:w="64" w:type="dxa"/>
              <w:right w:w="64" w:type="dxa"/>
            </w:tcMar>
            <w:hideMark/>
          </w:tcPr>
          <w:p w:rsidR="00E50F2F" w:rsidRPr="00E02DF8" w:rsidRDefault="00E50F2F" w:rsidP="00E50F2F">
            <w:pPr>
              <w:spacing w:after="0" w:line="240" w:lineRule="auto"/>
              <w:rPr>
                <w:rFonts w:ascii="Arial" w:eastAsia="Times New Roman" w:hAnsi="Arial" w:cs="Arial"/>
                <w:kern w:val="0"/>
                <w:lang w:eastAsia="en-GB"/>
                <w14:ligatures w14:val="none"/>
              </w:rPr>
            </w:pPr>
            <w:r w:rsidRPr="00E02DF8">
              <w:rPr>
                <w:rFonts w:ascii="Arial" w:eastAsia="Times New Roman" w:hAnsi="Arial" w:cs="Arial"/>
                <w:b/>
                <w:bCs/>
                <w:color w:val="000000"/>
                <w:kern w:val="0"/>
                <w:sz w:val="18"/>
                <w:szCs w:val="18"/>
                <w:lang w:eastAsia="en-GB"/>
                <w14:ligatures w14:val="none"/>
              </w:rPr>
              <w:t>Report</w:t>
            </w:r>
          </w:p>
        </w:tc>
      </w:tr>
      <w:tr w:rsidR="00E50F2F" w:rsidRPr="00E02DF8" w:rsidTr="00E50F2F">
        <w:trPr>
          <w:trHeight w:val="400"/>
        </w:trPr>
        <w:tc>
          <w:tcPr>
            <w:tcW w:w="0" w:type="auto"/>
            <w:vMerge w:val="restart"/>
            <w:tcBorders>
              <w:top w:val="single" w:sz="4" w:space="0" w:color="000000" w:themeColor="text1"/>
              <w:left w:val="single" w:sz="8" w:space="0" w:color="FFFFFF"/>
              <w:bottom w:val="single" w:sz="8" w:space="0" w:color="000000"/>
              <w:right w:val="single" w:sz="8" w:space="0" w:color="FFFFFF"/>
            </w:tcBorders>
            <w:tcMar>
              <w:top w:w="64" w:type="dxa"/>
              <w:left w:w="64" w:type="dxa"/>
              <w:bottom w:w="64" w:type="dxa"/>
              <w:right w:w="64" w:type="dxa"/>
            </w:tcMar>
            <w:vAlign w:val="center"/>
            <w:hideMark/>
          </w:tcPr>
          <w:p w:rsidR="00E50F2F" w:rsidRPr="00E02DF8" w:rsidRDefault="00E50F2F" w:rsidP="00E50F2F">
            <w:pPr>
              <w:spacing w:after="0" w:line="240" w:lineRule="auto"/>
              <w:rPr>
                <w:rFonts w:ascii="Arial" w:eastAsia="Times New Roman" w:hAnsi="Arial" w:cs="Arial"/>
                <w:kern w:val="0"/>
                <w:lang w:eastAsia="en-GB"/>
                <w14:ligatures w14:val="none"/>
              </w:rPr>
            </w:pPr>
            <w:r w:rsidRPr="00E02DF8">
              <w:rPr>
                <w:rFonts w:ascii="Arial" w:eastAsia="Times New Roman" w:hAnsi="Arial" w:cs="Arial"/>
                <w:b/>
                <w:bCs/>
                <w:color w:val="000000"/>
                <w:kern w:val="0"/>
                <w:sz w:val="18"/>
                <w:szCs w:val="18"/>
                <w:lang w:eastAsia="en-GB"/>
                <w14:ligatures w14:val="none"/>
              </w:rPr>
              <w:t>Longitudinal Design</w:t>
            </w:r>
          </w:p>
        </w:tc>
        <w:tc>
          <w:tcPr>
            <w:tcW w:w="0" w:type="auto"/>
            <w:tcBorders>
              <w:top w:val="single" w:sz="8" w:space="0" w:color="B7B7B7"/>
              <w:left w:val="single" w:sz="8" w:space="0" w:color="FFFFFF"/>
              <w:right w:val="single" w:sz="8" w:space="0" w:color="FFFFFF"/>
            </w:tcBorders>
            <w:tcMar>
              <w:top w:w="64" w:type="dxa"/>
              <w:left w:w="64" w:type="dxa"/>
              <w:bottom w:w="64" w:type="dxa"/>
              <w:right w:w="64" w:type="dxa"/>
            </w:tcMar>
            <w:hideMark/>
          </w:tcPr>
          <w:p w:rsidR="00E50F2F" w:rsidRPr="00E02DF8" w:rsidRDefault="00E50F2F" w:rsidP="00E50F2F">
            <w:pPr>
              <w:spacing w:after="0" w:line="240" w:lineRule="auto"/>
              <w:rPr>
                <w:rFonts w:ascii="Arial" w:eastAsia="Times New Roman" w:hAnsi="Arial" w:cs="Arial"/>
                <w:kern w:val="0"/>
                <w:lang w:eastAsia="en-GB"/>
                <w14:ligatures w14:val="none"/>
              </w:rPr>
            </w:pPr>
            <w:r w:rsidRPr="00E02DF8">
              <w:rPr>
                <w:rFonts w:ascii="Arial" w:eastAsia="Times New Roman" w:hAnsi="Arial" w:cs="Arial"/>
                <w:color w:val="000000"/>
                <w:kern w:val="0"/>
                <w:sz w:val="18"/>
                <w:szCs w:val="18"/>
                <w:lang w:eastAsia="en-GB"/>
                <w14:ligatures w14:val="none"/>
              </w:rPr>
              <w:t>1.1 </w:t>
            </w:r>
          </w:p>
        </w:tc>
        <w:tc>
          <w:tcPr>
            <w:tcW w:w="3671" w:type="dxa"/>
            <w:tcBorders>
              <w:top w:val="single" w:sz="8" w:space="0" w:color="B7B7B7"/>
              <w:left w:val="single" w:sz="8" w:space="0" w:color="FFFFFF"/>
              <w:right w:val="single" w:sz="8" w:space="0" w:color="FFFFFF"/>
            </w:tcBorders>
            <w:tcMar>
              <w:top w:w="64" w:type="dxa"/>
              <w:left w:w="64" w:type="dxa"/>
              <w:bottom w:w="64" w:type="dxa"/>
              <w:right w:w="64" w:type="dxa"/>
            </w:tcMar>
            <w:hideMark/>
          </w:tcPr>
          <w:p w:rsidR="00E50F2F" w:rsidRPr="00E02DF8" w:rsidRDefault="00E50F2F" w:rsidP="00E50F2F">
            <w:pPr>
              <w:spacing w:after="60" w:line="240" w:lineRule="auto"/>
              <w:jc w:val="both"/>
              <w:rPr>
                <w:rFonts w:ascii="Arial" w:eastAsia="Times New Roman" w:hAnsi="Arial" w:cs="Arial"/>
                <w:kern w:val="0"/>
                <w:lang w:eastAsia="en-GB"/>
                <w14:ligatures w14:val="none"/>
              </w:rPr>
            </w:pPr>
            <w:r w:rsidRPr="00E02DF8">
              <w:rPr>
                <w:rFonts w:ascii="Arial" w:eastAsia="Times New Roman" w:hAnsi="Arial" w:cs="Arial"/>
                <w:b/>
                <w:bCs/>
                <w:color w:val="000000"/>
                <w:kern w:val="0"/>
                <w:sz w:val="18"/>
                <w:szCs w:val="18"/>
                <w:lang w:eastAsia="en-GB"/>
                <w14:ligatures w14:val="none"/>
              </w:rPr>
              <w:t>The time period</w:t>
            </w:r>
            <w:r w:rsidRPr="00E02DF8">
              <w:rPr>
                <w:rFonts w:ascii="Arial" w:eastAsia="Times New Roman" w:hAnsi="Arial" w:cs="Arial"/>
                <w:color w:val="000000"/>
                <w:kern w:val="0"/>
                <w:sz w:val="18"/>
                <w:szCs w:val="18"/>
                <w:lang w:eastAsia="en-GB"/>
                <w14:ligatures w14:val="none"/>
              </w:rPr>
              <w:t>. The data collection period covered for each participant (i.e., start and end of the data collection) and to what extent the length is sufficient for capturing the targeted symptoms.</w:t>
            </w:r>
          </w:p>
        </w:tc>
        <w:tc>
          <w:tcPr>
            <w:tcW w:w="3062" w:type="dxa"/>
            <w:tcBorders>
              <w:top w:val="single" w:sz="8" w:space="0" w:color="B7B7B7"/>
              <w:left w:val="single" w:sz="8" w:space="0" w:color="FFFFFF"/>
              <w:right w:val="single" w:sz="8" w:space="0" w:color="FFFFFF"/>
            </w:tcBorders>
            <w:tcMar>
              <w:top w:w="64" w:type="dxa"/>
              <w:left w:w="64" w:type="dxa"/>
              <w:bottom w:w="64" w:type="dxa"/>
              <w:right w:w="64" w:type="dxa"/>
            </w:tcMar>
            <w:hideMark/>
          </w:tcPr>
          <w:p w:rsidR="00E50F2F" w:rsidRPr="00E02DF8" w:rsidRDefault="00E50F2F" w:rsidP="00E50F2F">
            <w:pPr>
              <w:spacing w:after="0" w:line="240" w:lineRule="auto"/>
              <w:rPr>
                <w:rFonts w:ascii="Arial" w:eastAsia="Times New Roman" w:hAnsi="Arial" w:cs="Arial"/>
                <w:kern w:val="0"/>
                <w:lang w:eastAsia="en-GB"/>
                <w14:ligatures w14:val="none"/>
              </w:rPr>
            </w:pPr>
          </w:p>
        </w:tc>
      </w:tr>
      <w:tr w:rsidR="00E50F2F" w:rsidRPr="00E02DF8" w:rsidTr="00E50F2F">
        <w:trPr>
          <w:trHeight w:val="400"/>
        </w:trPr>
        <w:tc>
          <w:tcPr>
            <w:tcW w:w="0" w:type="auto"/>
            <w:vMerge/>
            <w:tcBorders>
              <w:top w:val="single" w:sz="8" w:space="0" w:color="B7B7B7"/>
              <w:left w:val="single" w:sz="8" w:space="0" w:color="FFFFFF"/>
              <w:bottom w:val="single" w:sz="8" w:space="0" w:color="000000"/>
              <w:right w:val="single" w:sz="8" w:space="0" w:color="FFFFFF"/>
            </w:tcBorders>
            <w:vAlign w:val="center"/>
            <w:hideMark/>
          </w:tcPr>
          <w:p w:rsidR="00E50F2F" w:rsidRPr="00E02DF8" w:rsidRDefault="00E50F2F" w:rsidP="00E50F2F">
            <w:pPr>
              <w:spacing w:after="0" w:line="240" w:lineRule="auto"/>
              <w:rPr>
                <w:rFonts w:ascii="Arial" w:eastAsia="Times New Roman" w:hAnsi="Arial" w:cs="Arial"/>
                <w:kern w:val="0"/>
                <w:lang w:eastAsia="en-GB"/>
                <w14:ligatures w14:val="none"/>
              </w:rPr>
            </w:pPr>
          </w:p>
        </w:tc>
        <w:tc>
          <w:tcPr>
            <w:tcW w:w="0" w:type="auto"/>
            <w:tcBorders>
              <w:left w:val="single" w:sz="8" w:space="0" w:color="FFFFFF"/>
              <w:right w:val="single" w:sz="8" w:space="0" w:color="FFFFFF"/>
            </w:tcBorders>
            <w:tcMar>
              <w:top w:w="64" w:type="dxa"/>
              <w:left w:w="64" w:type="dxa"/>
              <w:bottom w:w="64" w:type="dxa"/>
              <w:right w:w="64" w:type="dxa"/>
            </w:tcMar>
            <w:hideMark/>
          </w:tcPr>
          <w:p w:rsidR="00E50F2F" w:rsidRPr="00E02DF8" w:rsidRDefault="00E50F2F" w:rsidP="00E50F2F">
            <w:pPr>
              <w:spacing w:after="0" w:line="240" w:lineRule="auto"/>
              <w:rPr>
                <w:rFonts w:ascii="Arial" w:eastAsia="Times New Roman" w:hAnsi="Arial" w:cs="Arial"/>
                <w:kern w:val="0"/>
                <w:lang w:eastAsia="en-GB"/>
                <w14:ligatures w14:val="none"/>
              </w:rPr>
            </w:pPr>
            <w:r w:rsidRPr="00E02DF8">
              <w:rPr>
                <w:rFonts w:ascii="Arial" w:eastAsia="Times New Roman" w:hAnsi="Arial" w:cs="Arial"/>
                <w:color w:val="000000"/>
                <w:kern w:val="0"/>
                <w:sz w:val="18"/>
                <w:szCs w:val="18"/>
                <w:lang w:eastAsia="en-GB"/>
                <w14:ligatures w14:val="none"/>
              </w:rPr>
              <w:t>1.2 </w:t>
            </w:r>
          </w:p>
        </w:tc>
        <w:tc>
          <w:tcPr>
            <w:tcW w:w="3671" w:type="dxa"/>
            <w:tcBorders>
              <w:left w:val="single" w:sz="8" w:space="0" w:color="FFFFFF"/>
              <w:right w:val="single" w:sz="8" w:space="0" w:color="FFFFFF"/>
            </w:tcBorders>
            <w:tcMar>
              <w:top w:w="64" w:type="dxa"/>
              <w:left w:w="64" w:type="dxa"/>
              <w:bottom w:w="64" w:type="dxa"/>
              <w:right w:w="64" w:type="dxa"/>
            </w:tcMar>
            <w:hideMark/>
          </w:tcPr>
          <w:p w:rsidR="00E50F2F" w:rsidRPr="00E02DF8" w:rsidRDefault="00E50F2F" w:rsidP="00E50F2F">
            <w:pPr>
              <w:spacing w:after="60" w:line="240" w:lineRule="auto"/>
              <w:jc w:val="both"/>
              <w:rPr>
                <w:rFonts w:ascii="Arial" w:eastAsia="Times New Roman" w:hAnsi="Arial" w:cs="Arial"/>
                <w:kern w:val="0"/>
                <w:lang w:eastAsia="en-GB"/>
                <w14:ligatures w14:val="none"/>
              </w:rPr>
            </w:pPr>
            <w:r w:rsidRPr="00E02DF8">
              <w:rPr>
                <w:rFonts w:ascii="Arial" w:eastAsia="Times New Roman" w:hAnsi="Arial" w:cs="Arial"/>
                <w:b/>
                <w:bCs/>
                <w:color w:val="000000"/>
                <w:kern w:val="0"/>
                <w:sz w:val="18"/>
                <w:szCs w:val="18"/>
                <w:lang w:eastAsia="en-GB"/>
                <w14:ligatures w14:val="none"/>
              </w:rPr>
              <w:t>The number of time points</w:t>
            </w:r>
            <w:r w:rsidRPr="00E02DF8">
              <w:rPr>
                <w:rFonts w:ascii="Arial" w:eastAsia="Times New Roman" w:hAnsi="Arial" w:cs="Arial"/>
                <w:color w:val="000000"/>
                <w:kern w:val="0"/>
                <w:sz w:val="18"/>
                <w:szCs w:val="18"/>
                <w:lang w:eastAsia="en-GB"/>
                <w14:ligatures w14:val="none"/>
              </w:rPr>
              <w:t>. Whether and how data were collected on multiple occasions between the start and the end of the time period, the sufficiency of the data collection, and of its frequency and intensity for capturing the target.</w:t>
            </w:r>
          </w:p>
        </w:tc>
        <w:tc>
          <w:tcPr>
            <w:tcW w:w="3062" w:type="dxa"/>
            <w:tcBorders>
              <w:left w:val="single" w:sz="8" w:space="0" w:color="FFFFFF"/>
              <w:right w:val="single" w:sz="8" w:space="0" w:color="FFFFFF"/>
            </w:tcBorders>
            <w:tcMar>
              <w:top w:w="64" w:type="dxa"/>
              <w:left w:w="64" w:type="dxa"/>
              <w:bottom w:w="64" w:type="dxa"/>
              <w:right w:w="64" w:type="dxa"/>
            </w:tcMar>
            <w:hideMark/>
          </w:tcPr>
          <w:p w:rsidR="00E50F2F" w:rsidRPr="00E02DF8" w:rsidRDefault="00E50F2F" w:rsidP="00E50F2F">
            <w:pPr>
              <w:spacing w:after="0" w:line="240" w:lineRule="auto"/>
              <w:rPr>
                <w:rFonts w:ascii="Arial" w:eastAsia="Times New Roman" w:hAnsi="Arial" w:cs="Arial"/>
                <w:kern w:val="0"/>
                <w:lang w:eastAsia="en-GB"/>
                <w14:ligatures w14:val="none"/>
              </w:rPr>
            </w:pPr>
          </w:p>
        </w:tc>
      </w:tr>
      <w:tr w:rsidR="00E50F2F" w:rsidRPr="00E02DF8" w:rsidTr="00E50F2F">
        <w:trPr>
          <w:trHeight w:val="400"/>
        </w:trPr>
        <w:tc>
          <w:tcPr>
            <w:tcW w:w="0" w:type="auto"/>
            <w:vMerge/>
            <w:tcBorders>
              <w:top w:val="single" w:sz="8" w:space="0" w:color="B7B7B7"/>
              <w:left w:val="single" w:sz="8" w:space="0" w:color="FFFFFF"/>
              <w:bottom w:val="single" w:sz="8" w:space="0" w:color="000000"/>
              <w:right w:val="single" w:sz="8" w:space="0" w:color="FFFFFF"/>
            </w:tcBorders>
            <w:vAlign w:val="center"/>
            <w:hideMark/>
          </w:tcPr>
          <w:p w:rsidR="00E50F2F" w:rsidRPr="00E02DF8" w:rsidRDefault="00E50F2F" w:rsidP="00E50F2F">
            <w:pPr>
              <w:spacing w:after="0" w:line="240" w:lineRule="auto"/>
              <w:rPr>
                <w:rFonts w:ascii="Arial" w:eastAsia="Times New Roman" w:hAnsi="Arial" w:cs="Arial"/>
                <w:kern w:val="0"/>
                <w:lang w:eastAsia="en-GB"/>
                <w14:ligatures w14:val="none"/>
              </w:rPr>
            </w:pPr>
          </w:p>
        </w:tc>
        <w:tc>
          <w:tcPr>
            <w:tcW w:w="0" w:type="auto"/>
            <w:tcBorders>
              <w:left w:val="single" w:sz="8" w:space="0" w:color="FFFFFF"/>
              <w:right w:val="single" w:sz="8" w:space="0" w:color="FFFFFF"/>
            </w:tcBorders>
            <w:tcMar>
              <w:top w:w="64" w:type="dxa"/>
              <w:left w:w="64" w:type="dxa"/>
              <w:bottom w:w="64" w:type="dxa"/>
              <w:right w:w="64" w:type="dxa"/>
            </w:tcMar>
            <w:hideMark/>
          </w:tcPr>
          <w:p w:rsidR="00E50F2F" w:rsidRPr="00E02DF8" w:rsidRDefault="00E50F2F" w:rsidP="00E50F2F">
            <w:pPr>
              <w:spacing w:after="0" w:line="240" w:lineRule="auto"/>
              <w:rPr>
                <w:rFonts w:ascii="Arial" w:eastAsia="Times New Roman" w:hAnsi="Arial" w:cs="Arial"/>
                <w:kern w:val="0"/>
                <w:lang w:eastAsia="en-GB"/>
                <w14:ligatures w14:val="none"/>
              </w:rPr>
            </w:pPr>
            <w:r w:rsidRPr="00E02DF8">
              <w:rPr>
                <w:rFonts w:ascii="Arial" w:eastAsia="Times New Roman" w:hAnsi="Arial" w:cs="Arial"/>
                <w:color w:val="000000"/>
                <w:kern w:val="0"/>
                <w:sz w:val="18"/>
                <w:szCs w:val="18"/>
                <w:lang w:eastAsia="en-GB"/>
                <w14:ligatures w14:val="none"/>
              </w:rPr>
              <w:t>1.3</w:t>
            </w:r>
          </w:p>
        </w:tc>
        <w:tc>
          <w:tcPr>
            <w:tcW w:w="3671" w:type="dxa"/>
            <w:tcBorders>
              <w:left w:val="single" w:sz="8" w:space="0" w:color="FFFFFF"/>
              <w:right w:val="single" w:sz="8" w:space="0" w:color="FFFFFF"/>
            </w:tcBorders>
            <w:tcMar>
              <w:top w:w="64" w:type="dxa"/>
              <w:left w:w="64" w:type="dxa"/>
              <w:bottom w:w="64" w:type="dxa"/>
              <w:right w:w="64" w:type="dxa"/>
            </w:tcMar>
            <w:hideMark/>
          </w:tcPr>
          <w:p w:rsidR="00E50F2F" w:rsidRPr="00E02DF8" w:rsidRDefault="00E50F2F" w:rsidP="00E50F2F">
            <w:pPr>
              <w:shd w:val="clear" w:color="auto" w:fill="FFFFFF"/>
              <w:spacing w:after="60" w:line="240" w:lineRule="auto"/>
              <w:jc w:val="both"/>
              <w:rPr>
                <w:rFonts w:ascii="Arial" w:eastAsia="Times New Roman" w:hAnsi="Arial" w:cs="Arial"/>
                <w:kern w:val="0"/>
                <w:lang w:eastAsia="en-GB"/>
                <w14:ligatures w14:val="none"/>
              </w:rPr>
            </w:pPr>
            <w:r w:rsidRPr="00E02DF8">
              <w:rPr>
                <w:rFonts w:ascii="Arial" w:eastAsia="Times New Roman" w:hAnsi="Arial" w:cs="Arial"/>
                <w:b/>
                <w:bCs/>
                <w:color w:val="000000"/>
                <w:kern w:val="0"/>
                <w:sz w:val="18"/>
                <w:szCs w:val="18"/>
                <w:lang w:eastAsia="en-GB"/>
                <w14:ligatures w14:val="none"/>
              </w:rPr>
              <w:t>History or lifetime information</w:t>
            </w:r>
            <w:r w:rsidRPr="00E02DF8">
              <w:rPr>
                <w:rFonts w:ascii="Arial" w:eastAsia="Times New Roman" w:hAnsi="Arial" w:cs="Arial"/>
                <w:color w:val="000000"/>
                <w:kern w:val="0"/>
                <w:sz w:val="18"/>
                <w:szCs w:val="18"/>
                <w:lang w:eastAsia="en-GB"/>
                <w14:ligatures w14:val="none"/>
              </w:rPr>
              <w:t>.</w:t>
            </w:r>
            <w:r w:rsidRPr="00E02DF8">
              <w:rPr>
                <w:rFonts w:ascii="Arial" w:eastAsia="Times New Roman" w:hAnsi="Arial" w:cs="Arial"/>
                <w:b/>
                <w:bCs/>
                <w:color w:val="000000"/>
                <w:kern w:val="0"/>
                <w:sz w:val="18"/>
                <w:szCs w:val="18"/>
                <w:lang w:eastAsia="en-GB"/>
                <w14:ligatures w14:val="none"/>
              </w:rPr>
              <w:t xml:space="preserve"> </w:t>
            </w:r>
            <w:r w:rsidRPr="00E02DF8">
              <w:rPr>
                <w:rFonts w:ascii="Arial" w:eastAsia="Times New Roman" w:hAnsi="Arial" w:cs="Arial"/>
                <w:color w:val="000000"/>
                <w:kern w:val="0"/>
                <w:sz w:val="18"/>
                <w:szCs w:val="18"/>
                <w:lang w:eastAsia="en-GB"/>
                <w14:ligatures w14:val="none"/>
              </w:rPr>
              <w:t>Whether and which</w:t>
            </w:r>
            <w:r w:rsidRPr="00E02DF8">
              <w:rPr>
                <w:rFonts w:ascii="Arial" w:eastAsia="Times New Roman" w:hAnsi="Arial" w:cs="Arial"/>
                <w:color w:val="0000FF"/>
                <w:kern w:val="0"/>
                <w:sz w:val="18"/>
                <w:szCs w:val="18"/>
                <w:lang w:eastAsia="en-GB"/>
                <w14:ligatures w14:val="none"/>
              </w:rPr>
              <w:t xml:space="preserve"> </w:t>
            </w:r>
            <w:r w:rsidRPr="00E02DF8">
              <w:rPr>
                <w:rFonts w:ascii="Arial" w:eastAsia="Times New Roman" w:hAnsi="Arial" w:cs="Arial"/>
                <w:color w:val="000000"/>
                <w:kern w:val="0"/>
                <w:sz w:val="18"/>
                <w:szCs w:val="18"/>
                <w:lang w:eastAsia="en-GB"/>
                <w14:ligatures w14:val="none"/>
              </w:rPr>
              <w:t>data from before the start of the data collection were taken into account and how these data are relevant for the assessment of the target.</w:t>
            </w:r>
          </w:p>
        </w:tc>
        <w:tc>
          <w:tcPr>
            <w:tcW w:w="3062" w:type="dxa"/>
            <w:tcBorders>
              <w:left w:val="single" w:sz="8" w:space="0" w:color="FFFFFF"/>
              <w:right w:val="single" w:sz="8" w:space="0" w:color="FFFFFF"/>
            </w:tcBorders>
            <w:tcMar>
              <w:top w:w="64" w:type="dxa"/>
              <w:left w:w="64" w:type="dxa"/>
              <w:bottom w:w="64" w:type="dxa"/>
              <w:right w:w="64" w:type="dxa"/>
            </w:tcMar>
            <w:hideMark/>
          </w:tcPr>
          <w:p w:rsidR="00E50F2F" w:rsidRPr="00E02DF8" w:rsidRDefault="00E50F2F" w:rsidP="00E50F2F">
            <w:pPr>
              <w:shd w:val="clear" w:color="auto" w:fill="FFFFFF"/>
              <w:spacing w:after="60" w:line="240" w:lineRule="auto"/>
              <w:jc w:val="both"/>
              <w:rPr>
                <w:rFonts w:ascii="Arial" w:eastAsia="Times New Roman" w:hAnsi="Arial" w:cs="Arial"/>
                <w:kern w:val="0"/>
                <w:lang w:eastAsia="en-GB"/>
                <w14:ligatures w14:val="none"/>
              </w:rPr>
            </w:pPr>
          </w:p>
        </w:tc>
      </w:tr>
      <w:tr w:rsidR="00E50F2F" w:rsidRPr="00E02DF8" w:rsidTr="00E50F2F">
        <w:trPr>
          <w:trHeight w:val="400"/>
        </w:trPr>
        <w:tc>
          <w:tcPr>
            <w:tcW w:w="0" w:type="auto"/>
            <w:vMerge/>
            <w:tcBorders>
              <w:top w:val="single" w:sz="8" w:space="0" w:color="B7B7B7"/>
              <w:left w:val="single" w:sz="8" w:space="0" w:color="FFFFFF"/>
              <w:bottom w:val="single" w:sz="4" w:space="0" w:color="000000" w:themeColor="text1"/>
              <w:right w:val="single" w:sz="8" w:space="0" w:color="FFFFFF"/>
            </w:tcBorders>
            <w:vAlign w:val="center"/>
            <w:hideMark/>
          </w:tcPr>
          <w:p w:rsidR="00E50F2F" w:rsidRPr="00E02DF8" w:rsidRDefault="00E50F2F" w:rsidP="00E50F2F">
            <w:pPr>
              <w:spacing w:after="0" w:line="240" w:lineRule="auto"/>
              <w:rPr>
                <w:rFonts w:ascii="Arial" w:eastAsia="Times New Roman" w:hAnsi="Arial" w:cs="Arial"/>
                <w:kern w:val="0"/>
                <w:lang w:eastAsia="en-GB"/>
                <w14:ligatures w14:val="none"/>
              </w:rPr>
            </w:pPr>
          </w:p>
        </w:tc>
        <w:tc>
          <w:tcPr>
            <w:tcW w:w="0" w:type="auto"/>
            <w:tcBorders>
              <w:left w:val="single" w:sz="8" w:space="0" w:color="FFFFFF"/>
              <w:bottom w:val="single" w:sz="8" w:space="0" w:color="B7B7B7"/>
              <w:right w:val="single" w:sz="8" w:space="0" w:color="FFFFFF"/>
            </w:tcBorders>
            <w:tcMar>
              <w:top w:w="64" w:type="dxa"/>
              <w:left w:w="64" w:type="dxa"/>
              <w:bottom w:w="64" w:type="dxa"/>
              <w:right w:w="64" w:type="dxa"/>
            </w:tcMar>
            <w:hideMark/>
          </w:tcPr>
          <w:p w:rsidR="00E50F2F" w:rsidRPr="00E02DF8" w:rsidRDefault="00E50F2F" w:rsidP="00E50F2F">
            <w:pPr>
              <w:spacing w:after="0" w:line="240" w:lineRule="auto"/>
              <w:rPr>
                <w:rFonts w:ascii="Arial" w:eastAsia="Times New Roman" w:hAnsi="Arial" w:cs="Arial"/>
                <w:kern w:val="0"/>
                <w:lang w:eastAsia="en-GB"/>
                <w14:ligatures w14:val="none"/>
              </w:rPr>
            </w:pPr>
            <w:r w:rsidRPr="00E02DF8">
              <w:rPr>
                <w:rFonts w:ascii="Arial" w:eastAsia="Times New Roman" w:hAnsi="Arial" w:cs="Arial"/>
                <w:color w:val="000000"/>
                <w:kern w:val="0"/>
                <w:sz w:val="18"/>
                <w:szCs w:val="18"/>
                <w:lang w:eastAsia="en-GB"/>
                <w14:ligatures w14:val="none"/>
              </w:rPr>
              <w:t>1.4</w:t>
            </w:r>
          </w:p>
        </w:tc>
        <w:tc>
          <w:tcPr>
            <w:tcW w:w="3671" w:type="dxa"/>
            <w:tcBorders>
              <w:left w:val="single" w:sz="8" w:space="0" w:color="FFFFFF"/>
              <w:bottom w:val="single" w:sz="8" w:space="0" w:color="B7B7B7"/>
              <w:right w:val="single" w:sz="8" w:space="0" w:color="FFFFFF"/>
            </w:tcBorders>
            <w:tcMar>
              <w:top w:w="64" w:type="dxa"/>
              <w:left w:w="64" w:type="dxa"/>
              <w:bottom w:w="64" w:type="dxa"/>
              <w:right w:w="64" w:type="dxa"/>
            </w:tcMar>
            <w:hideMark/>
          </w:tcPr>
          <w:p w:rsidR="00E50F2F" w:rsidRPr="00E02DF8" w:rsidRDefault="00E50F2F" w:rsidP="00E50F2F">
            <w:pPr>
              <w:shd w:val="clear" w:color="auto" w:fill="FFFFFF"/>
              <w:spacing w:after="60" w:line="240" w:lineRule="auto"/>
              <w:jc w:val="both"/>
              <w:rPr>
                <w:rFonts w:ascii="Arial" w:eastAsia="Times New Roman" w:hAnsi="Arial" w:cs="Arial"/>
                <w:kern w:val="0"/>
                <w:lang w:eastAsia="en-GB"/>
                <w14:ligatures w14:val="none"/>
              </w:rPr>
            </w:pPr>
            <w:r w:rsidRPr="00E02DF8">
              <w:rPr>
                <w:rFonts w:ascii="Arial" w:eastAsia="Times New Roman" w:hAnsi="Arial" w:cs="Arial"/>
                <w:b/>
                <w:bCs/>
                <w:color w:val="000000"/>
                <w:kern w:val="0"/>
                <w:sz w:val="18"/>
                <w:szCs w:val="18"/>
                <w:lang w:eastAsia="en-GB"/>
                <w14:ligatures w14:val="none"/>
              </w:rPr>
              <w:t>The targeted time point(s) of the experts’ assessment</w:t>
            </w:r>
            <w:r w:rsidRPr="00E02DF8">
              <w:rPr>
                <w:rFonts w:ascii="Arial" w:eastAsia="Times New Roman" w:hAnsi="Arial" w:cs="Arial"/>
                <w:color w:val="000000"/>
                <w:kern w:val="0"/>
                <w:sz w:val="18"/>
                <w:szCs w:val="18"/>
                <w:lang w:eastAsia="en-GB"/>
                <w14:ligatures w14:val="none"/>
              </w:rPr>
              <w:t>. The time point(s) for which the experts provide their assessment, on which time period the data of the assessments are based (i.e., past data, future data, or both), and justifications for the targeted time point(s).</w:t>
            </w:r>
          </w:p>
        </w:tc>
        <w:tc>
          <w:tcPr>
            <w:tcW w:w="3062" w:type="dxa"/>
            <w:tcBorders>
              <w:left w:val="single" w:sz="8" w:space="0" w:color="FFFFFF"/>
              <w:bottom w:val="single" w:sz="8" w:space="0" w:color="B7B7B7"/>
              <w:right w:val="single" w:sz="8" w:space="0" w:color="FFFFFF"/>
            </w:tcBorders>
            <w:tcMar>
              <w:top w:w="64" w:type="dxa"/>
              <w:left w:w="64" w:type="dxa"/>
              <w:bottom w:w="64" w:type="dxa"/>
              <w:right w:w="64" w:type="dxa"/>
            </w:tcMar>
            <w:hideMark/>
          </w:tcPr>
          <w:p w:rsidR="00E50F2F" w:rsidRPr="00E02DF8" w:rsidRDefault="00E50F2F" w:rsidP="00E50F2F">
            <w:pPr>
              <w:shd w:val="clear" w:color="auto" w:fill="FFFFFF"/>
              <w:spacing w:after="60" w:line="240" w:lineRule="auto"/>
              <w:jc w:val="both"/>
              <w:rPr>
                <w:rFonts w:ascii="Arial" w:eastAsia="Times New Roman" w:hAnsi="Arial" w:cs="Arial"/>
                <w:kern w:val="0"/>
                <w:lang w:eastAsia="en-GB"/>
                <w14:ligatures w14:val="none"/>
              </w:rPr>
            </w:pPr>
          </w:p>
        </w:tc>
      </w:tr>
      <w:tr w:rsidR="00E50F2F" w:rsidRPr="00E02DF8" w:rsidTr="00E50F2F">
        <w:trPr>
          <w:trHeight w:val="400"/>
        </w:trPr>
        <w:tc>
          <w:tcPr>
            <w:tcW w:w="0" w:type="auto"/>
            <w:vMerge w:val="restart"/>
            <w:tcBorders>
              <w:top w:val="single" w:sz="4" w:space="0" w:color="000000" w:themeColor="text1"/>
              <w:bottom w:val="single" w:sz="8" w:space="0" w:color="000000"/>
            </w:tcBorders>
            <w:tcMar>
              <w:top w:w="64" w:type="dxa"/>
              <w:left w:w="64" w:type="dxa"/>
              <w:bottom w:w="64" w:type="dxa"/>
              <w:right w:w="64" w:type="dxa"/>
            </w:tcMar>
            <w:vAlign w:val="center"/>
            <w:hideMark/>
          </w:tcPr>
          <w:p w:rsidR="00E50F2F" w:rsidRPr="00E02DF8" w:rsidRDefault="00E50F2F" w:rsidP="00E50F2F">
            <w:pPr>
              <w:spacing w:after="0" w:line="240" w:lineRule="auto"/>
              <w:rPr>
                <w:rFonts w:ascii="Arial" w:eastAsia="Times New Roman" w:hAnsi="Arial" w:cs="Arial"/>
                <w:kern w:val="0"/>
                <w:lang w:eastAsia="en-GB"/>
                <w14:ligatures w14:val="none"/>
              </w:rPr>
            </w:pPr>
            <w:r w:rsidRPr="00E02DF8">
              <w:rPr>
                <w:rFonts w:ascii="Arial" w:eastAsia="Times New Roman" w:hAnsi="Arial" w:cs="Arial"/>
                <w:b/>
                <w:bCs/>
                <w:color w:val="000000"/>
                <w:kern w:val="0"/>
                <w:sz w:val="18"/>
                <w:szCs w:val="18"/>
                <w:lang w:eastAsia="en-GB"/>
                <w14:ligatures w14:val="none"/>
              </w:rPr>
              <w:t>Appropriate data</w:t>
            </w:r>
          </w:p>
        </w:tc>
        <w:tc>
          <w:tcPr>
            <w:tcW w:w="0" w:type="auto"/>
            <w:tcBorders>
              <w:top w:val="single" w:sz="8" w:space="0" w:color="B7B7B7"/>
            </w:tcBorders>
            <w:tcMar>
              <w:top w:w="64" w:type="dxa"/>
              <w:left w:w="64" w:type="dxa"/>
              <w:bottom w:w="64" w:type="dxa"/>
              <w:right w:w="64" w:type="dxa"/>
            </w:tcMar>
            <w:hideMark/>
          </w:tcPr>
          <w:p w:rsidR="00E50F2F" w:rsidRPr="00E02DF8" w:rsidRDefault="00E50F2F" w:rsidP="00E50F2F">
            <w:pPr>
              <w:spacing w:after="0" w:line="240" w:lineRule="auto"/>
              <w:rPr>
                <w:rFonts w:ascii="Arial" w:eastAsia="Times New Roman" w:hAnsi="Arial" w:cs="Arial"/>
                <w:kern w:val="0"/>
                <w:lang w:eastAsia="en-GB"/>
                <w14:ligatures w14:val="none"/>
              </w:rPr>
            </w:pPr>
            <w:r w:rsidRPr="00E02DF8">
              <w:rPr>
                <w:rFonts w:ascii="Arial" w:eastAsia="Times New Roman" w:hAnsi="Arial" w:cs="Arial"/>
                <w:color w:val="000000"/>
                <w:kern w:val="0"/>
                <w:sz w:val="18"/>
                <w:szCs w:val="18"/>
                <w:lang w:eastAsia="en-GB"/>
                <w14:ligatures w14:val="none"/>
              </w:rPr>
              <w:t>2.1 </w:t>
            </w:r>
          </w:p>
        </w:tc>
        <w:tc>
          <w:tcPr>
            <w:tcW w:w="3671" w:type="dxa"/>
            <w:tcBorders>
              <w:top w:val="single" w:sz="8" w:space="0" w:color="B7B7B7"/>
            </w:tcBorders>
            <w:tcMar>
              <w:top w:w="64" w:type="dxa"/>
              <w:left w:w="64" w:type="dxa"/>
              <w:bottom w:w="64" w:type="dxa"/>
              <w:right w:w="64" w:type="dxa"/>
            </w:tcMar>
            <w:hideMark/>
          </w:tcPr>
          <w:p w:rsidR="00E50F2F" w:rsidRPr="00E02DF8" w:rsidRDefault="00E50F2F" w:rsidP="00E50F2F">
            <w:pPr>
              <w:shd w:val="clear" w:color="auto" w:fill="FFFFFF"/>
              <w:spacing w:after="60" w:line="240" w:lineRule="auto"/>
              <w:jc w:val="both"/>
              <w:rPr>
                <w:rFonts w:ascii="Arial" w:eastAsia="Times New Roman" w:hAnsi="Arial" w:cs="Arial"/>
                <w:kern w:val="0"/>
                <w:lang w:eastAsia="en-GB"/>
                <w14:ligatures w14:val="none"/>
              </w:rPr>
            </w:pPr>
            <w:r w:rsidRPr="00E02DF8">
              <w:rPr>
                <w:rFonts w:ascii="Arial" w:eastAsia="Times New Roman" w:hAnsi="Arial" w:cs="Arial"/>
                <w:b/>
                <w:bCs/>
                <w:color w:val="000000"/>
                <w:kern w:val="0"/>
                <w:sz w:val="18"/>
                <w:szCs w:val="18"/>
                <w:lang w:eastAsia="en-GB"/>
                <w14:ligatures w14:val="none"/>
              </w:rPr>
              <w:t>The type and quality of the data.</w:t>
            </w:r>
            <w:r w:rsidRPr="00E02DF8">
              <w:rPr>
                <w:rFonts w:ascii="Arial" w:eastAsia="Times New Roman" w:hAnsi="Arial" w:cs="Arial"/>
                <w:color w:val="000000"/>
                <w:kern w:val="0"/>
                <w:sz w:val="18"/>
                <w:szCs w:val="18"/>
                <w:lang w:eastAsia="en-GB"/>
                <w14:ligatures w14:val="none"/>
              </w:rPr>
              <w:t xml:space="preserve"> The type, quality, and relevance of the data and why these data sources are sufficient and suitable for capturing the target.</w:t>
            </w:r>
          </w:p>
        </w:tc>
        <w:tc>
          <w:tcPr>
            <w:tcW w:w="3062" w:type="dxa"/>
            <w:tcBorders>
              <w:top w:val="single" w:sz="8" w:space="0" w:color="B7B7B7"/>
            </w:tcBorders>
            <w:tcMar>
              <w:top w:w="64" w:type="dxa"/>
              <w:left w:w="64" w:type="dxa"/>
              <w:bottom w:w="64" w:type="dxa"/>
              <w:right w:w="64" w:type="dxa"/>
            </w:tcMar>
            <w:hideMark/>
          </w:tcPr>
          <w:p w:rsidR="00E50F2F" w:rsidRPr="00E02DF8" w:rsidRDefault="00E50F2F" w:rsidP="00E50F2F">
            <w:pPr>
              <w:shd w:val="clear" w:color="auto" w:fill="FFFFFF"/>
              <w:spacing w:after="60" w:line="240" w:lineRule="auto"/>
              <w:jc w:val="both"/>
              <w:rPr>
                <w:rFonts w:ascii="Arial" w:eastAsia="Times New Roman" w:hAnsi="Arial" w:cs="Arial"/>
                <w:kern w:val="0"/>
                <w:lang w:eastAsia="en-GB"/>
                <w14:ligatures w14:val="none"/>
              </w:rPr>
            </w:pPr>
          </w:p>
        </w:tc>
      </w:tr>
      <w:tr w:rsidR="00E50F2F" w:rsidRPr="00E02DF8" w:rsidTr="00E50F2F">
        <w:trPr>
          <w:trHeight w:val="513"/>
        </w:trPr>
        <w:tc>
          <w:tcPr>
            <w:tcW w:w="0" w:type="auto"/>
            <w:vMerge/>
            <w:tcBorders>
              <w:top w:val="single" w:sz="8" w:space="0" w:color="B7B7B7"/>
              <w:bottom w:val="single" w:sz="8" w:space="0" w:color="000000"/>
            </w:tcBorders>
            <w:vAlign w:val="center"/>
            <w:hideMark/>
          </w:tcPr>
          <w:p w:rsidR="00E50F2F" w:rsidRPr="00E02DF8" w:rsidRDefault="00E50F2F" w:rsidP="00E50F2F">
            <w:pPr>
              <w:spacing w:after="0" w:line="240" w:lineRule="auto"/>
              <w:rPr>
                <w:rFonts w:ascii="Arial" w:eastAsia="Times New Roman" w:hAnsi="Arial" w:cs="Arial"/>
                <w:kern w:val="0"/>
                <w:lang w:eastAsia="en-GB"/>
                <w14:ligatures w14:val="none"/>
              </w:rPr>
            </w:pPr>
          </w:p>
        </w:tc>
        <w:tc>
          <w:tcPr>
            <w:tcW w:w="0" w:type="auto"/>
            <w:tcMar>
              <w:top w:w="64" w:type="dxa"/>
              <w:left w:w="64" w:type="dxa"/>
              <w:bottom w:w="64" w:type="dxa"/>
              <w:right w:w="64" w:type="dxa"/>
            </w:tcMar>
            <w:hideMark/>
          </w:tcPr>
          <w:p w:rsidR="00E50F2F" w:rsidRPr="00E02DF8" w:rsidRDefault="00E50F2F" w:rsidP="00E50F2F">
            <w:pPr>
              <w:spacing w:after="0" w:line="240" w:lineRule="auto"/>
              <w:rPr>
                <w:rFonts w:ascii="Arial" w:eastAsia="Times New Roman" w:hAnsi="Arial" w:cs="Arial"/>
                <w:kern w:val="0"/>
                <w:lang w:eastAsia="en-GB"/>
                <w14:ligatures w14:val="none"/>
              </w:rPr>
            </w:pPr>
            <w:r w:rsidRPr="00E02DF8">
              <w:rPr>
                <w:rFonts w:ascii="Arial" w:eastAsia="Times New Roman" w:hAnsi="Arial" w:cs="Arial"/>
                <w:color w:val="000000"/>
                <w:kern w:val="0"/>
                <w:sz w:val="18"/>
                <w:szCs w:val="18"/>
                <w:lang w:eastAsia="en-GB"/>
                <w14:ligatures w14:val="none"/>
              </w:rPr>
              <w:t>2.2</w:t>
            </w:r>
          </w:p>
        </w:tc>
        <w:tc>
          <w:tcPr>
            <w:tcW w:w="3671" w:type="dxa"/>
            <w:tcMar>
              <w:top w:w="64" w:type="dxa"/>
              <w:left w:w="64" w:type="dxa"/>
              <w:bottom w:w="64" w:type="dxa"/>
              <w:right w:w="64" w:type="dxa"/>
            </w:tcMar>
            <w:hideMark/>
          </w:tcPr>
          <w:p w:rsidR="00E50F2F" w:rsidRPr="00E02DF8" w:rsidRDefault="00E50F2F" w:rsidP="00E50F2F">
            <w:pPr>
              <w:shd w:val="clear" w:color="auto" w:fill="FFFFFF"/>
              <w:spacing w:after="60" w:line="240" w:lineRule="auto"/>
              <w:jc w:val="both"/>
              <w:rPr>
                <w:rFonts w:ascii="Arial" w:eastAsia="Times New Roman" w:hAnsi="Arial" w:cs="Arial"/>
                <w:kern w:val="0"/>
                <w:lang w:eastAsia="en-GB"/>
                <w14:ligatures w14:val="none"/>
              </w:rPr>
            </w:pPr>
            <w:r w:rsidRPr="00E02DF8">
              <w:rPr>
                <w:rFonts w:ascii="Arial" w:eastAsia="Times New Roman" w:hAnsi="Arial" w:cs="Arial"/>
                <w:b/>
                <w:bCs/>
                <w:color w:val="000000"/>
                <w:kern w:val="0"/>
                <w:sz w:val="18"/>
                <w:szCs w:val="18"/>
                <w:lang w:eastAsia="en-GB"/>
                <w14:ligatures w14:val="none"/>
              </w:rPr>
              <w:t xml:space="preserve">The data triangulation. </w:t>
            </w:r>
            <w:r w:rsidRPr="00E02DF8">
              <w:rPr>
                <w:rFonts w:ascii="Arial" w:eastAsia="Times New Roman" w:hAnsi="Arial" w:cs="Arial"/>
                <w:color w:val="000000"/>
                <w:kern w:val="0"/>
                <w:sz w:val="18"/>
                <w:szCs w:val="18"/>
                <w:lang w:eastAsia="en-GB"/>
                <w14:ligatures w14:val="none"/>
              </w:rPr>
              <w:t>Whether and why the data come from different methodological approaches and the degree to which these approaches complement each other.</w:t>
            </w:r>
          </w:p>
        </w:tc>
        <w:tc>
          <w:tcPr>
            <w:tcW w:w="3062" w:type="dxa"/>
            <w:tcMar>
              <w:top w:w="64" w:type="dxa"/>
              <w:left w:w="64" w:type="dxa"/>
              <w:bottom w:w="64" w:type="dxa"/>
              <w:right w:w="64" w:type="dxa"/>
            </w:tcMar>
            <w:hideMark/>
          </w:tcPr>
          <w:p w:rsidR="00E50F2F" w:rsidRPr="00E02DF8" w:rsidRDefault="00E50F2F" w:rsidP="00E50F2F">
            <w:pPr>
              <w:shd w:val="clear" w:color="auto" w:fill="FFFFFF"/>
              <w:spacing w:after="60" w:line="240" w:lineRule="auto"/>
              <w:jc w:val="both"/>
              <w:rPr>
                <w:rFonts w:ascii="Arial" w:eastAsia="Times New Roman" w:hAnsi="Arial" w:cs="Arial"/>
                <w:kern w:val="0"/>
                <w:lang w:eastAsia="en-GB"/>
                <w14:ligatures w14:val="none"/>
              </w:rPr>
            </w:pPr>
          </w:p>
        </w:tc>
      </w:tr>
      <w:tr w:rsidR="00E50F2F" w:rsidRPr="00E02DF8" w:rsidTr="00E50F2F">
        <w:trPr>
          <w:trHeight w:val="400"/>
        </w:trPr>
        <w:tc>
          <w:tcPr>
            <w:tcW w:w="0" w:type="auto"/>
            <w:vMerge/>
            <w:tcBorders>
              <w:top w:val="single" w:sz="8" w:space="0" w:color="B7B7B7"/>
              <w:bottom w:val="single" w:sz="8" w:space="0" w:color="000000"/>
            </w:tcBorders>
            <w:vAlign w:val="center"/>
            <w:hideMark/>
          </w:tcPr>
          <w:p w:rsidR="00E50F2F" w:rsidRPr="00E02DF8" w:rsidRDefault="00E50F2F" w:rsidP="00E50F2F">
            <w:pPr>
              <w:spacing w:after="0" w:line="240" w:lineRule="auto"/>
              <w:rPr>
                <w:rFonts w:ascii="Arial" w:eastAsia="Times New Roman" w:hAnsi="Arial" w:cs="Arial"/>
                <w:kern w:val="0"/>
                <w:lang w:eastAsia="en-GB"/>
                <w14:ligatures w14:val="none"/>
              </w:rPr>
            </w:pPr>
          </w:p>
        </w:tc>
        <w:tc>
          <w:tcPr>
            <w:tcW w:w="0" w:type="auto"/>
            <w:tcMar>
              <w:top w:w="64" w:type="dxa"/>
              <w:left w:w="64" w:type="dxa"/>
              <w:bottom w:w="64" w:type="dxa"/>
              <w:right w:w="64" w:type="dxa"/>
            </w:tcMar>
            <w:hideMark/>
          </w:tcPr>
          <w:p w:rsidR="00E50F2F" w:rsidRPr="00E02DF8" w:rsidRDefault="00E50F2F" w:rsidP="00E50F2F">
            <w:pPr>
              <w:spacing w:after="0" w:line="240" w:lineRule="auto"/>
              <w:rPr>
                <w:rFonts w:ascii="Arial" w:eastAsia="Times New Roman" w:hAnsi="Arial" w:cs="Arial"/>
                <w:kern w:val="0"/>
                <w:lang w:eastAsia="en-GB"/>
                <w14:ligatures w14:val="none"/>
              </w:rPr>
            </w:pPr>
            <w:r w:rsidRPr="00E02DF8">
              <w:rPr>
                <w:rFonts w:ascii="Arial" w:eastAsia="Times New Roman" w:hAnsi="Arial" w:cs="Arial"/>
                <w:color w:val="000000"/>
                <w:kern w:val="0"/>
                <w:sz w:val="18"/>
                <w:szCs w:val="18"/>
                <w:lang w:eastAsia="en-GB"/>
                <w14:ligatures w14:val="none"/>
              </w:rPr>
              <w:t>2.3</w:t>
            </w:r>
          </w:p>
        </w:tc>
        <w:tc>
          <w:tcPr>
            <w:tcW w:w="3671" w:type="dxa"/>
            <w:tcMar>
              <w:top w:w="64" w:type="dxa"/>
              <w:left w:w="64" w:type="dxa"/>
              <w:bottom w:w="64" w:type="dxa"/>
              <w:right w:w="64" w:type="dxa"/>
            </w:tcMar>
            <w:hideMark/>
          </w:tcPr>
          <w:p w:rsidR="00E50F2F" w:rsidRPr="00E02DF8" w:rsidRDefault="00E50F2F" w:rsidP="00E50F2F">
            <w:pPr>
              <w:shd w:val="clear" w:color="auto" w:fill="FFFFFF"/>
              <w:spacing w:after="60" w:line="240" w:lineRule="auto"/>
              <w:jc w:val="both"/>
              <w:rPr>
                <w:rFonts w:ascii="Arial" w:eastAsia="Times New Roman" w:hAnsi="Arial" w:cs="Arial"/>
                <w:kern w:val="0"/>
                <w:lang w:eastAsia="en-GB"/>
                <w14:ligatures w14:val="none"/>
              </w:rPr>
            </w:pPr>
            <w:r w:rsidRPr="00E02DF8">
              <w:rPr>
                <w:rFonts w:ascii="Arial" w:eastAsia="Times New Roman" w:hAnsi="Arial" w:cs="Arial"/>
                <w:b/>
                <w:bCs/>
                <w:color w:val="000000"/>
                <w:kern w:val="0"/>
                <w:sz w:val="18"/>
                <w:szCs w:val="18"/>
                <w:lang w:eastAsia="en-GB"/>
                <w14:ligatures w14:val="none"/>
              </w:rPr>
              <w:t>The data presentation</w:t>
            </w:r>
            <w:r w:rsidRPr="00E02DF8">
              <w:rPr>
                <w:rFonts w:ascii="Arial" w:eastAsia="Times New Roman" w:hAnsi="Arial" w:cs="Arial"/>
                <w:color w:val="000000"/>
                <w:kern w:val="0"/>
                <w:sz w:val="18"/>
                <w:szCs w:val="18"/>
                <w:lang w:eastAsia="en-GB"/>
                <w14:ligatures w14:val="none"/>
              </w:rPr>
              <w:t>. How the data were structured and presented to the experts for their assessments and why.</w:t>
            </w:r>
          </w:p>
        </w:tc>
        <w:tc>
          <w:tcPr>
            <w:tcW w:w="3062" w:type="dxa"/>
            <w:tcMar>
              <w:top w:w="64" w:type="dxa"/>
              <w:left w:w="64" w:type="dxa"/>
              <w:bottom w:w="64" w:type="dxa"/>
              <w:right w:w="64" w:type="dxa"/>
            </w:tcMar>
            <w:hideMark/>
          </w:tcPr>
          <w:p w:rsidR="00E50F2F" w:rsidRPr="00E02DF8" w:rsidRDefault="00E50F2F" w:rsidP="00E50F2F">
            <w:pPr>
              <w:shd w:val="clear" w:color="auto" w:fill="FFFFFF"/>
              <w:spacing w:after="60" w:line="240" w:lineRule="auto"/>
              <w:jc w:val="both"/>
              <w:rPr>
                <w:rFonts w:ascii="Arial" w:eastAsia="Times New Roman" w:hAnsi="Arial" w:cs="Arial"/>
                <w:kern w:val="0"/>
                <w:lang w:eastAsia="en-GB"/>
                <w14:ligatures w14:val="none"/>
              </w:rPr>
            </w:pPr>
          </w:p>
        </w:tc>
      </w:tr>
      <w:tr w:rsidR="00E50F2F" w:rsidRPr="00E02DF8" w:rsidTr="00E50F2F">
        <w:trPr>
          <w:trHeight w:val="400"/>
        </w:trPr>
        <w:tc>
          <w:tcPr>
            <w:tcW w:w="0" w:type="auto"/>
            <w:vMerge/>
            <w:tcBorders>
              <w:top w:val="single" w:sz="8" w:space="0" w:color="B7B7B7"/>
              <w:bottom w:val="single" w:sz="4" w:space="0" w:color="000000" w:themeColor="text1"/>
            </w:tcBorders>
            <w:vAlign w:val="center"/>
            <w:hideMark/>
          </w:tcPr>
          <w:p w:rsidR="00E50F2F" w:rsidRPr="00E02DF8" w:rsidRDefault="00E50F2F" w:rsidP="00E50F2F">
            <w:pPr>
              <w:spacing w:after="0" w:line="240" w:lineRule="auto"/>
              <w:rPr>
                <w:rFonts w:ascii="Arial" w:eastAsia="Times New Roman" w:hAnsi="Arial" w:cs="Arial"/>
                <w:kern w:val="0"/>
                <w:lang w:eastAsia="en-GB"/>
                <w14:ligatures w14:val="none"/>
              </w:rPr>
            </w:pPr>
          </w:p>
        </w:tc>
        <w:tc>
          <w:tcPr>
            <w:tcW w:w="0" w:type="auto"/>
            <w:tcBorders>
              <w:bottom w:val="single" w:sz="8" w:space="0" w:color="B7B7B7"/>
            </w:tcBorders>
            <w:tcMar>
              <w:top w:w="64" w:type="dxa"/>
              <w:left w:w="64" w:type="dxa"/>
              <w:bottom w:w="64" w:type="dxa"/>
              <w:right w:w="64" w:type="dxa"/>
            </w:tcMar>
            <w:hideMark/>
          </w:tcPr>
          <w:p w:rsidR="00E50F2F" w:rsidRPr="00E02DF8" w:rsidRDefault="00E50F2F" w:rsidP="00E50F2F">
            <w:pPr>
              <w:spacing w:after="0" w:line="240" w:lineRule="auto"/>
              <w:rPr>
                <w:rFonts w:ascii="Arial" w:eastAsia="Times New Roman" w:hAnsi="Arial" w:cs="Arial"/>
                <w:kern w:val="0"/>
                <w:lang w:eastAsia="en-GB"/>
                <w14:ligatures w14:val="none"/>
              </w:rPr>
            </w:pPr>
            <w:r w:rsidRPr="00E02DF8">
              <w:rPr>
                <w:rFonts w:ascii="Arial" w:eastAsia="Times New Roman" w:hAnsi="Arial" w:cs="Arial"/>
                <w:color w:val="000000"/>
                <w:kern w:val="0"/>
                <w:sz w:val="18"/>
                <w:szCs w:val="18"/>
                <w:lang w:eastAsia="en-GB"/>
                <w14:ligatures w14:val="none"/>
              </w:rPr>
              <w:t>2.4</w:t>
            </w:r>
          </w:p>
        </w:tc>
        <w:tc>
          <w:tcPr>
            <w:tcW w:w="3671" w:type="dxa"/>
            <w:tcBorders>
              <w:bottom w:val="single" w:sz="8" w:space="0" w:color="B7B7B7"/>
            </w:tcBorders>
            <w:tcMar>
              <w:top w:w="64" w:type="dxa"/>
              <w:left w:w="64" w:type="dxa"/>
              <w:bottom w:w="64" w:type="dxa"/>
              <w:right w:w="64" w:type="dxa"/>
            </w:tcMar>
            <w:hideMark/>
          </w:tcPr>
          <w:p w:rsidR="00E50F2F" w:rsidRPr="00E02DF8" w:rsidRDefault="00E50F2F" w:rsidP="00E50F2F">
            <w:pPr>
              <w:shd w:val="clear" w:color="auto" w:fill="FFFFFF"/>
              <w:spacing w:after="60" w:line="240" w:lineRule="auto"/>
              <w:jc w:val="both"/>
              <w:rPr>
                <w:rFonts w:ascii="Arial" w:eastAsia="Times New Roman" w:hAnsi="Arial" w:cs="Arial"/>
                <w:kern w:val="0"/>
                <w:lang w:eastAsia="en-GB"/>
                <w14:ligatures w14:val="none"/>
              </w:rPr>
            </w:pPr>
            <w:r w:rsidRPr="00E02DF8">
              <w:rPr>
                <w:rFonts w:ascii="Arial" w:eastAsia="Times New Roman" w:hAnsi="Arial" w:cs="Arial"/>
                <w:b/>
                <w:bCs/>
                <w:color w:val="000000"/>
                <w:kern w:val="0"/>
                <w:sz w:val="18"/>
                <w:szCs w:val="18"/>
                <w:lang w:eastAsia="en-GB"/>
                <w14:ligatures w14:val="none"/>
              </w:rPr>
              <w:t>The access to the index measure</w:t>
            </w:r>
            <w:r w:rsidRPr="00E02DF8">
              <w:rPr>
                <w:rFonts w:ascii="Arial" w:eastAsia="Times New Roman" w:hAnsi="Arial" w:cs="Arial"/>
                <w:color w:val="000000"/>
                <w:kern w:val="0"/>
                <w:sz w:val="18"/>
                <w:szCs w:val="18"/>
                <w:lang w:eastAsia="en-GB"/>
                <w14:ligatures w14:val="none"/>
              </w:rPr>
              <w:t>. For an assessment accuracy study, the extent the experts had access to the index measure and why (i.e., an assessment that is being compared to the best-estimate assessment), and how its information was weighted in their assessment.</w:t>
            </w:r>
          </w:p>
        </w:tc>
        <w:tc>
          <w:tcPr>
            <w:tcW w:w="3062" w:type="dxa"/>
            <w:tcBorders>
              <w:bottom w:val="single" w:sz="8" w:space="0" w:color="B7B7B7"/>
            </w:tcBorders>
            <w:tcMar>
              <w:top w:w="64" w:type="dxa"/>
              <w:left w:w="64" w:type="dxa"/>
              <w:bottom w:w="64" w:type="dxa"/>
              <w:right w:w="64" w:type="dxa"/>
            </w:tcMar>
            <w:hideMark/>
          </w:tcPr>
          <w:p w:rsidR="00E50F2F" w:rsidRPr="00E02DF8" w:rsidRDefault="00E50F2F" w:rsidP="00E50F2F">
            <w:pPr>
              <w:shd w:val="clear" w:color="auto" w:fill="FFFFFF"/>
              <w:spacing w:after="60" w:line="240" w:lineRule="auto"/>
              <w:jc w:val="both"/>
              <w:rPr>
                <w:rFonts w:ascii="Arial" w:eastAsia="Times New Roman" w:hAnsi="Arial" w:cs="Arial"/>
                <w:kern w:val="0"/>
                <w:lang w:eastAsia="en-GB"/>
                <w14:ligatures w14:val="none"/>
              </w:rPr>
            </w:pPr>
          </w:p>
        </w:tc>
      </w:tr>
      <w:tr w:rsidR="00E50F2F" w:rsidRPr="00E02DF8" w:rsidTr="00E50F2F">
        <w:trPr>
          <w:trHeight w:val="400"/>
        </w:trPr>
        <w:tc>
          <w:tcPr>
            <w:tcW w:w="0" w:type="auto"/>
            <w:vMerge w:val="restart"/>
            <w:tcBorders>
              <w:top w:val="single" w:sz="4" w:space="0" w:color="000000" w:themeColor="text1"/>
              <w:bottom w:val="single" w:sz="8" w:space="0" w:color="000000"/>
            </w:tcBorders>
            <w:tcMar>
              <w:top w:w="64" w:type="dxa"/>
              <w:left w:w="64" w:type="dxa"/>
              <w:bottom w:w="64" w:type="dxa"/>
              <w:right w:w="64" w:type="dxa"/>
            </w:tcMar>
            <w:vAlign w:val="center"/>
            <w:hideMark/>
          </w:tcPr>
          <w:p w:rsidR="00E50F2F" w:rsidRPr="00E02DF8" w:rsidRDefault="00E50F2F" w:rsidP="00E50F2F">
            <w:pPr>
              <w:spacing w:after="0" w:line="240" w:lineRule="auto"/>
              <w:rPr>
                <w:rFonts w:ascii="Arial" w:eastAsia="Times New Roman" w:hAnsi="Arial" w:cs="Arial"/>
                <w:kern w:val="0"/>
                <w:lang w:eastAsia="en-GB"/>
                <w14:ligatures w14:val="none"/>
              </w:rPr>
            </w:pPr>
            <w:r w:rsidRPr="00E02DF8">
              <w:rPr>
                <w:rFonts w:ascii="Arial" w:eastAsia="Times New Roman" w:hAnsi="Arial" w:cs="Arial"/>
                <w:b/>
                <w:bCs/>
                <w:color w:val="000000"/>
                <w:kern w:val="0"/>
                <w:sz w:val="18"/>
                <w:szCs w:val="18"/>
                <w:lang w:eastAsia="en-GB"/>
                <w14:ligatures w14:val="none"/>
              </w:rPr>
              <w:t>Evaluation – experts, materials, and procedures</w:t>
            </w:r>
          </w:p>
        </w:tc>
        <w:tc>
          <w:tcPr>
            <w:tcW w:w="0" w:type="auto"/>
            <w:tcBorders>
              <w:top w:val="single" w:sz="8" w:space="0" w:color="B7B7B7"/>
              <w:right w:val="single" w:sz="8" w:space="0" w:color="FFFFFF"/>
            </w:tcBorders>
            <w:tcMar>
              <w:top w:w="64" w:type="dxa"/>
              <w:left w:w="64" w:type="dxa"/>
              <w:bottom w:w="64" w:type="dxa"/>
              <w:right w:w="64" w:type="dxa"/>
            </w:tcMar>
            <w:hideMark/>
          </w:tcPr>
          <w:p w:rsidR="00E50F2F" w:rsidRPr="00E02DF8" w:rsidRDefault="00E50F2F" w:rsidP="00E50F2F">
            <w:pPr>
              <w:spacing w:after="0" w:line="240" w:lineRule="auto"/>
              <w:rPr>
                <w:rFonts w:ascii="Arial" w:eastAsia="Times New Roman" w:hAnsi="Arial" w:cs="Arial"/>
                <w:kern w:val="0"/>
                <w:lang w:eastAsia="en-GB"/>
                <w14:ligatures w14:val="none"/>
              </w:rPr>
            </w:pPr>
            <w:r w:rsidRPr="00E02DF8">
              <w:rPr>
                <w:rFonts w:ascii="Arial" w:eastAsia="Times New Roman" w:hAnsi="Arial" w:cs="Arial"/>
                <w:color w:val="000000"/>
                <w:kern w:val="0"/>
                <w:sz w:val="18"/>
                <w:szCs w:val="18"/>
                <w:lang w:eastAsia="en-GB"/>
                <w14:ligatures w14:val="none"/>
              </w:rPr>
              <w:t>3.1 </w:t>
            </w:r>
          </w:p>
        </w:tc>
        <w:tc>
          <w:tcPr>
            <w:tcW w:w="3671" w:type="dxa"/>
            <w:tcBorders>
              <w:top w:val="single" w:sz="8" w:space="0" w:color="B7B7B7"/>
              <w:left w:val="single" w:sz="8" w:space="0" w:color="FFFFFF"/>
              <w:right w:val="single" w:sz="8" w:space="0" w:color="FFFFFF"/>
            </w:tcBorders>
            <w:tcMar>
              <w:top w:w="64" w:type="dxa"/>
              <w:left w:w="64" w:type="dxa"/>
              <w:bottom w:w="64" w:type="dxa"/>
              <w:right w:w="64" w:type="dxa"/>
            </w:tcMar>
            <w:hideMark/>
          </w:tcPr>
          <w:p w:rsidR="00E50F2F" w:rsidRPr="00E02DF8" w:rsidRDefault="00E50F2F" w:rsidP="00E50F2F">
            <w:pPr>
              <w:shd w:val="clear" w:color="auto" w:fill="FFFFFF"/>
              <w:spacing w:after="60" w:line="240" w:lineRule="auto"/>
              <w:jc w:val="both"/>
              <w:rPr>
                <w:rFonts w:ascii="Arial" w:eastAsia="Times New Roman" w:hAnsi="Arial" w:cs="Arial"/>
                <w:kern w:val="0"/>
                <w:lang w:eastAsia="en-GB"/>
                <w14:ligatures w14:val="none"/>
              </w:rPr>
            </w:pPr>
            <w:r w:rsidRPr="00E02DF8">
              <w:rPr>
                <w:rFonts w:ascii="Arial" w:eastAsia="Times New Roman" w:hAnsi="Arial" w:cs="Arial"/>
                <w:b/>
                <w:bCs/>
                <w:color w:val="000000"/>
                <w:kern w:val="0"/>
                <w:sz w:val="18"/>
                <w:szCs w:val="18"/>
                <w:lang w:eastAsia="en-GB"/>
                <w14:ligatures w14:val="none"/>
              </w:rPr>
              <w:t xml:space="preserve">The expert and panel characteristics. </w:t>
            </w:r>
            <w:r w:rsidRPr="00E02DF8">
              <w:rPr>
                <w:rFonts w:ascii="Arial" w:eastAsia="Times New Roman" w:hAnsi="Arial" w:cs="Arial"/>
                <w:color w:val="000000"/>
                <w:kern w:val="0"/>
                <w:sz w:val="18"/>
                <w:szCs w:val="18"/>
                <w:lang w:eastAsia="en-GB"/>
                <w14:ligatures w14:val="none"/>
              </w:rPr>
              <w:t>The characteristics of the experts and the panel, as well as how these characteristics are relevant for assessing the target.</w:t>
            </w:r>
          </w:p>
        </w:tc>
        <w:tc>
          <w:tcPr>
            <w:tcW w:w="3062" w:type="dxa"/>
            <w:tcBorders>
              <w:top w:val="single" w:sz="8" w:space="0" w:color="B7B7B7"/>
              <w:left w:val="single" w:sz="8" w:space="0" w:color="FFFFFF"/>
              <w:right w:val="single" w:sz="8" w:space="0" w:color="FFFFFF"/>
            </w:tcBorders>
            <w:tcMar>
              <w:top w:w="64" w:type="dxa"/>
              <w:left w:w="64" w:type="dxa"/>
              <w:bottom w:w="64" w:type="dxa"/>
              <w:right w:w="64" w:type="dxa"/>
            </w:tcMar>
            <w:hideMark/>
          </w:tcPr>
          <w:p w:rsidR="00E50F2F" w:rsidRPr="00E02DF8" w:rsidRDefault="00E50F2F" w:rsidP="00E50F2F">
            <w:pPr>
              <w:shd w:val="clear" w:color="auto" w:fill="FFFFFF"/>
              <w:spacing w:after="60" w:line="240" w:lineRule="auto"/>
              <w:jc w:val="both"/>
              <w:rPr>
                <w:rFonts w:ascii="Arial" w:eastAsia="Times New Roman" w:hAnsi="Arial" w:cs="Arial"/>
                <w:kern w:val="0"/>
                <w:lang w:eastAsia="en-GB"/>
                <w14:ligatures w14:val="none"/>
              </w:rPr>
            </w:pPr>
          </w:p>
        </w:tc>
      </w:tr>
      <w:tr w:rsidR="00E50F2F" w:rsidRPr="00E02DF8" w:rsidTr="00E50F2F">
        <w:trPr>
          <w:trHeight w:val="400"/>
        </w:trPr>
        <w:tc>
          <w:tcPr>
            <w:tcW w:w="0" w:type="auto"/>
            <w:vMerge/>
            <w:tcBorders>
              <w:top w:val="single" w:sz="8" w:space="0" w:color="B7B7B7"/>
              <w:bottom w:val="single" w:sz="8" w:space="0" w:color="000000"/>
            </w:tcBorders>
            <w:vAlign w:val="center"/>
            <w:hideMark/>
          </w:tcPr>
          <w:p w:rsidR="00E50F2F" w:rsidRPr="00E02DF8" w:rsidRDefault="00E50F2F" w:rsidP="00E50F2F">
            <w:pPr>
              <w:spacing w:after="0" w:line="240" w:lineRule="auto"/>
              <w:rPr>
                <w:rFonts w:ascii="Arial" w:eastAsia="Times New Roman" w:hAnsi="Arial" w:cs="Arial"/>
                <w:kern w:val="0"/>
                <w:lang w:eastAsia="en-GB"/>
                <w14:ligatures w14:val="none"/>
              </w:rPr>
            </w:pPr>
          </w:p>
        </w:tc>
        <w:tc>
          <w:tcPr>
            <w:tcW w:w="0" w:type="auto"/>
            <w:tcBorders>
              <w:right w:val="single" w:sz="8" w:space="0" w:color="FFFFFF"/>
            </w:tcBorders>
            <w:tcMar>
              <w:top w:w="64" w:type="dxa"/>
              <w:left w:w="64" w:type="dxa"/>
              <w:bottom w:w="64" w:type="dxa"/>
              <w:right w:w="64" w:type="dxa"/>
            </w:tcMar>
            <w:hideMark/>
          </w:tcPr>
          <w:p w:rsidR="00E50F2F" w:rsidRPr="00E02DF8" w:rsidRDefault="00E50F2F" w:rsidP="00E50F2F">
            <w:pPr>
              <w:spacing w:after="0" w:line="240" w:lineRule="auto"/>
              <w:rPr>
                <w:rFonts w:ascii="Arial" w:eastAsia="Times New Roman" w:hAnsi="Arial" w:cs="Arial"/>
                <w:kern w:val="0"/>
                <w:lang w:eastAsia="en-GB"/>
                <w14:ligatures w14:val="none"/>
              </w:rPr>
            </w:pPr>
            <w:r w:rsidRPr="00E02DF8">
              <w:rPr>
                <w:rFonts w:ascii="Arial" w:eastAsia="Times New Roman" w:hAnsi="Arial" w:cs="Arial"/>
                <w:color w:val="000000"/>
                <w:kern w:val="0"/>
                <w:sz w:val="18"/>
                <w:szCs w:val="18"/>
                <w:lang w:eastAsia="en-GB"/>
                <w14:ligatures w14:val="none"/>
              </w:rPr>
              <w:t>3.2</w:t>
            </w:r>
          </w:p>
        </w:tc>
        <w:tc>
          <w:tcPr>
            <w:tcW w:w="3671" w:type="dxa"/>
            <w:tcBorders>
              <w:left w:val="single" w:sz="8" w:space="0" w:color="FFFFFF"/>
              <w:right w:val="single" w:sz="8" w:space="0" w:color="FFFFFF"/>
            </w:tcBorders>
            <w:tcMar>
              <w:top w:w="64" w:type="dxa"/>
              <w:left w:w="64" w:type="dxa"/>
              <w:bottom w:w="64" w:type="dxa"/>
              <w:right w:w="64" w:type="dxa"/>
            </w:tcMar>
            <w:hideMark/>
          </w:tcPr>
          <w:p w:rsidR="00E50F2F" w:rsidRPr="00E02DF8" w:rsidRDefault="00E50F2F" w:rsidP="00E50F2F">
            <w:pPr>
              <w:shd w:val="clear" w:color="auto" w:fill="FFFFFF"/>
              <w:spacing w:after="60" w:line="240" w:lineRule="auto"/>
              <w:jc w:val="both"/>
              <w:rPr>
                <w:rFonts w:ascii="Arial" w:eastAsia="Times New Roman" w:hAnsi="Arial" w:cs="Arial"/>
                <w:kern w:val="0"/>
                <w:lang w:eastAsia="en-GB"/>
                <w14:ligatures w14:val="none"/>
              </w:rPr>
            </w:pPr>
            <w:r w:rsidRPr="00E02DF8">
              <w:rPr>
                <w:rFonts w:ascii="Arial" w:eastAsia="Times New Roman" w:hAnsi="Arial" w:cs="Arial"/>
                <w:b/>
                <w:bCs/>
                <w:color w:val="000000"/>
                <w:kern w:val="0"/>
                <w:sz w:val="18"/>
                <w:szCs w:val="18"/>
                <w:lang w:eastAsia="en-GB"/>
                <w14:ligatures w14:val="none"/>
              </w:rPr>
              <w:t xml:space="preserve">The number of experts and panels. </w:t>
            </w:r>
            <w:r w:rsidRPr="00E02DF8">
              <w:rPr>
                <w:rFonts w:ascii="Arial" w:eastAsia="Times New Roman" w:hAnsi="Arial" w:cs="Arial"/>
                <w:color w:val="000000"/>
                <w:kern w:val="0"/>
                <w:sz w:val="18"/>
                <w:szCs w:val="18"/>
                <w:lang w:eastAsia="en-GB"/>
                <w14:ligatures w14:val="none"/>
              </w:rPr>
              <w:t>The total number of experts and panels, and how many experts/panels were assessing each case and why.</w:t>
            </w:r>
          </w:p>
        </w:tc>
        <w:tc>
          <w:tcPr>
            <w:tcW w:w="3062" w:type="dxa"/>
            <w:tcBorders>
              <w:left w:val="single" w:sz="8" w:space="0" w:color="FFFFFF"/>
              <w:right w:val="single" w:sz="8" w:space="0" w:color="FFFFFF"/>
            </w:tcBorders>
            <w:tcMar>
              <w:top w:w="64" w:type="dxa"/>
              <w:left w:w="64" w:type="dxa"/>
              <w:bottom w:w="64" w:type="dxa"/>
              <w:right w:w="64" w:type="dxa"/>
            </w:tcMar>
            <w:hideMark/>
          </w:tcPr>
          <w:p w:rsidR="00E50F2F" w:rsidRPr="00E02DF8" w:rsidRDefault="00E50F2F" w:rsidP="00E50F2F">
            <w:pPr>
              <w:shd w:val="clear" w:color="auto" w:fill="FFFFFF"/>
              <w:spacing w:after="60" w:line="240" w:lineRule="auto"/>
              <w:jc w:val="both"/>
              <w:rPr>
                <w:rFonts w:ascii="Arial" w:eastAsia="Times New Roman" w:hAnsi="Arial" w:cs="Arial"/>
                <w:kern w:val="0"/>
                <w:lang w:eastAsia="en-GB"/>
                <w14:ligatures w14:val="none"/>
              </w:rPr>
            </w:pPr>
          </w:p>
        </w:tc>
      </w:tr>
      <w:tr w:rsidR="00E50F2F" w:rsidRPr="00E02DF8" w:rsidTr="00E50F2F">
        <w:trPr>
          <w:trHeight w:val="400"/>
        </w:trPr>
        <w:tc>
          <w:tcPr>
            <w:tcW w:w="0" w:type="auto"/>
            <w:vMerge/>
            <w:tcBorders>
              <w:top w:val="single" w:sz="8" w:space="0" w:color="B7B7B7"/>
              <w:bottom w:val="single" w:sz="8" w:space="0" w:color="000000"/>
            </w:tcBorders>
            <w:vAlign w:val="center"/>
            <w:hideMark/>
          </w:tcPr>
          <w:p w:rsidR="00E50F2F" w:rsidRPr="00E02DF8" w:rsidRDefault="00E50F2F" w:rsidP="00E50F2F">
            <w:pPr>
              <w:spacing w:after="0" w:line="240" w:lineRule="auto"/>
              <w:rPr>
                <w:rFonts w:ascii="Arial" w:eastAsia="Times New Roman" w:hAnsi="Arial" w:cs="Arial"/>
                <w:kern w:val="0"/>
                <w:lang w:eastAsia="en-GB"/>
                <w14:ligatures w14:val="none"/>
              </w:rPr>
            </w:pPr>
          </w:p>
        </w:tc>
        <w:tc>
          <w:tcPr>
            <w:tcW w:w="0" w:type="auto"/>
            <w:tcBorders>
              <w:right w:val="single" w:sz="8" w:space="0" w:color="FFFFFF"/>
            </w:tcBorders>
            <w:tcMar>
              <w:top w:w="64" w:type="dxa"/>
              <w:left w:w="64" w:type="dxa"/>
              <w:bottom w:w="64" w:type="dxa"/>
              <w:right w:w="64" w:type="dxa"/>
            </w:tcMar>
            <w:hideMark/>
          </w:tcPr>
          <w:p w:rsidR="00E50F2F" w:rsidRPr="00E02DF8" w:rsidRDefault="00E50F2F" w:rsidP="00E50F2F">
            <w:pPr>
              <w:spacing w:after="0" w:line="240" w:lineRule="auto"/>
              <w:rPr>
                <w:rFonts w:ascii="Arial" w:eastAsia="Times New Roman" w:hAnsi="Arial" w:cs="Arial"/>
                <w:kern w:val="0"/>
                <w:lang w:eastAsia="en-GB"/>
                <w14:ligatures w14:val="none"/>
              </w:rPr>
            </w:pPr>
            <w:r w:rsidRPr="00E02DF8">
              <w:rPr>
                <w:rFonts w:ascii="Arial" w:eastAsia="Times New Roman" w:hAnsi="Arial" w:cs="Arial"/>
                <w:color w:val="000000"/>
                <w:kern w:val="0"/>
                <w:sz w:val="18"/>
                <w:szCs w:val="18"/>
                <w:lang w:eastAsia="en-GB"/>
                <w14:ligatures w14:val="none"/>
              </w:rPr>
              <w:t>3.3</w:t>
            </w:r>
          </w:p>
        </w:tc>
        <w:tc>
          <w:tcPr>
            <w:tcW w:w="3671" w:type="dxa"/>
            <w:tcBorders>
              <w:left w:val="single" w:sz="8" w:space="0" w:color="FFFFFF"/>
              <w:right w:val="single" w:sz="8" w:space="0" w:color="FFFFFF"/>
            </w:tcBorders>
            <w:tcMar>
              <w:top w:w="64" w:type="dxa"/>
              <w:left w:w="64" w:type="dxa"/>
              <w:bottom w:w="64" w:type="dxa"/>
              <w:right w:w="64" w:type="dxa"/>
            </w:tcMar>
            <w:hideMark/>
          </w:tcPr>
          <w:p w:rsidR="00E50F2F" w:rsidRPr="00E02DF8" w:rsidRDefault="00E50F2F" w:rsidP="00E50F2F">
            <w:pPr>
              <w:shd w:val="clear" w:color="auto" w:fill="FFFFFF"/>
              <w:spacing w:after="60" w:line="240" w:lineRule="auto"/>
              <w:jc w:val="both"/>
              <w:rPr>
                <w:rFonts w:ascii="Arial" w:eastAsia="Times New Roman" w:hAnsi="Arial" w:cs="Arial"/>
                <w:kern w:val="0"/>
                <w:lang w:eastAsia="en-GB"/>
                <w14:ligatures w14:val="none"/>
              </w:rPr>
            </w:pPr>
            <w:r w:rsidRPr="00E02DF8">
              <w:rPr>
                <w:rFonts w:ascii="Arial" w:eastAsia="Times New Roman" w:hAnsi="Arial" w:cs="Arial"/>
                <w:b/>
                <w:bCs/>
                <w:color w:val="000000"/>
                <w:kern w:val="0"/>
                <w:sz w:val="18"/>
                <w:szCs w:val="18"/>
                <w:lang w:eastAsia="en-GB"/>
                <w14:ligatures w14:val="none"/>
              </w:rPr>
              <w:t xml:space="preserve">Blindness and conflicts of interest. </w:t>
            </w:r>
            <w:r w:rsidRPr="00E02DF8">
              <w:rPr>
                <w:rFonts w:ascii="Arial" w:eastAsia="Times New Roman" w:hAnsi="Arial" w:cs="Arial"/>
                <w:color w:val="000000"/>
                <w:kern w:val="0"/>
                <w:sz w:val="18"/>
                <w:szCs w:val="18"/>
                <w:lang w:eastAsia="en-GB"/>
                <w14:ligatures w14:val="none"/>
              </w:rPr>
              <w:t>Whether and to what extent the experts are blind to the research aims and/or have any conflicts of interest.</w:t>
            </w:r>
          </w:p>
        </w:tc>
        <w:tc>
          <w:tcPr>
            <w:tcW w:w="3062" w:type="dxa"/>
            <w:tcBorders>
              <w:left w:val="single" w:sz="8" w:space="0" w:color="FFFFFF"/>
              <w:right w:val="single" w:sz="8" w:space="0" w:color="FFFFFF"/>
            </w:tcBorders>
            <w:tcMar>
              <w:top w:w="64" w:type="dxa"/>
              <w:left w:w="64" w:type="dxa"/>
              <w:bottom w:w="64" w:type="dxa"/>
              <w:right w:w="64" w:type="dxa"/>
            </w:tcMar>
            <w:hideMark/>
          </w:tcPr>
          <w:p w:rsidR="00E50F2F" w:rsidRPr="00E02DF8" w:rsidRDefault="00E50F2F" w:rsidP="00E50F2F">
            <w:pPr>
              <w:shd w:val="clear" w:color="auto" w:fill="FFFFFF"/>
              <w:spacing w:after="60" w:line="240" w:lineRule="auto"/>
              <w:jc w:val="both"/>
              <w:rPr>
                <w:rFonts w:ascii="Arial" w:eastAsia="Times New Roman" w:hAnsi="Arial" w:cs="Arial"/>
                <w:kern w:val="0"/>
                <w:lang w:eastAsia="en-GB"/>
                <w14:ligatures w14:val="none"/>
              </w:rPr>
            </w:pPr>
          </w:p>
        </w:tc>
      </w:tr>
      <w:tr w:rsidR="00E50F2F" w:rsidRPr="00E02DF8" w:rsidTr="00E50F2F">
        <w:trPr>
          <w:trHeight w:val="400"/>
        </w:trPr>
        <w:tc>
          <w:tcPr>
            <w:tcW w:w="0" w:type="auto"/>
            <w:vMerge/>
            <w:tcBorders>
              <w:top w:val="single" w:sz="8" w:space="0" w:color="B7B7B7"/>
            </w:tcBorders>
            <w:vAlign w:val="center"/>
            <w:hideMark/>
          </w:tcPr>
          <w:p w:rsidR="00E50F2F" w:rsidRPr="00E02DF8" w:rsidRDefault="00E50F2F" w:rsidP="00E50F2F">
            <w:pPr>
              <w:spacing w:after="0" w:line="240" w:lineRule="auto"/>
              <w:rPr>
                <w:rFonts w:ascii="Arial" w:eastAsia="Times New Roman" w:hAnsi="Arial" w:cs="Arial"/>
                <w:kern w:val="0"/>
                <w:lang w:eastAsia="en-GB"/>
                <w14:ligatures w14:val="none"/>
              </w:rPr>
            </w:pPr>
          </w:p>
        </w:tc>
        <w:tc>
          <w:tcPr>
            <w:tcW w:w="0" w:type="auto"/>
            <w:tcBorders>
              <w:right w:val="single" w:sz="8" w:space="0" w:color="FFFFFF"/>
            </w:tcBorders>
            <w:tcMar>
              <w:top w:w="64" w:type="dxa"/>
              <w:left w:w="64" w:type="dxa"/>
              <w:bottom w:w="64" w:type="dxa"/>
              <w:right w:w="64" w:type="dxa"/>
            </w:tcMar>
            <w:hideMark/>
          </w:tcPr>
          <w:p w:rsidR="00E50F2F" w:rsidRPr="00E02DF8" w:rsidRDefault="00E50F2F" w:rsidP="00E50F2F">
            <w:pPr>
              <w:spacing w:after="0" w:line="240" w:lineRule="auto"/>
              <w:rPr>
                <w:rFonts w:ascii="Arial" w:eastAsia="Times New Roman" w:hAnsi="Arial" w:cs="Arial"/>
                <w:kern w:val="0"/>
                <w:lang w:eastAsia="en-GB"/>
                <w14:ligatures w14:val="none"/>
              </w:rPr>
            </w:pPr>
            <w:r w:rsidRPr="00E02DF8">
              <w:rPr>
                <w:rFonts w:ascii="Arial" w:eastAsia="Times New Roman" w:hAnsi="Arial" w:cs="Arial"/>
                <w:color w:val="000000"/>
                <w:kern w:val="0"/>
                <w:sz w:val="18"/>
                <w:szCs w:val="18"/>
                <w:lang w:eastAsia="en-GB"/>
                <w14:ligatures w14:val="none"/>
              </w:rPr>
              <w:t>3.4</w:t>
            </w:r>
          </w:p>
        </w:tc>
        <w:tc>
          <w:tcPr>
            <w:tcW w:w="3671" w:type="dxa"/>
            <w:tcBorders>
              <w:left w:val="single" w:sz="8" w:space="0" w:color="FFFFFF"/>
              <w:right w:val="single" w:sz="8" w:space="0" w:color="FFFFFF"/>
            </w:tcBorders>
            <w:tcMar>
              <w:top w:w="64" w:type="dxa"/>
              <w:left w:w="64" w:type="dxa"/>
              <w:bottom w:w="64" w:type="dxa"/>
              <w:right w:w="64" w:type="dxa"/>
            </w:tcMar>
            <w:hideMark/>
          </w:tcPr>
          <w:p w:rsidR="00E50F2F" w:rsidRPr="00E02DF8" w:rsidRDefault="00E50F2F" w:rsidP="00E50F2F">
            <w:pPr>
              <w:shd w:val="clear" w:color="auto" w:fill="FFFFFF"/>
              <w:spacing w:after="60" w:line="240" w:lineRule="auto"/>
              <w:jc w:val="both"/>
              <w:rPr>
                <w:rFonts w:ascii="Arial" w:eastAsia="Times New Roman" w:hAnsi="Arial" w:cs="Arial"/>
                <w:kern w:val="0"/>
                <w:lang w:eastAsia="en-GB"/>
                <w14:ligatures w14:val="none"/>
              </w:rPr>
            </w:pPr>
            <w:r w:rsidRPr="00E02DF8">
              <w:rPr>
                <w:rFonts w:ascii="Arial" w:eastAsia="Times New Roman" w:hAnsi="Arial" w:cs="Arial"/>
                <w:b/>
                <w:bCs/>
                <w:color w:val="000000"/>
                <w:kern w:val="0"/>
                <w:sz w:val="18"/>
                <w:szCs w:val="18"/>
                <w:lang w:eastAsia="en-GB"/>
                <w14:ligatures w14:val="none"/>
              </w:rPr>
              <w:t xml:space="preserve">Instructions and training. </w:t>
            </w:r>
            <w:r w:rsidRPr="00E02DF8">
              <w:rPr>
                <w:rFonts w:ascii="Arial" w:eastAsia="Times New Roman" w:hAnsi="Arial" w:cs="Arial"/>
                <w:color w:val="000000"/>
                <w:kern w:val="0"/>
                <w:sz w:val="18"/>
                <w:szCs w:val="18"/>
                <w:lang w:eastAsia="en-GB"/>
                <w14:ligatures w14:val="none"/>
              </w:rPr>
              <w:t>The instructions, training, and/or preparation that the experts specifically received for this assessment task and why they did or did not receive this.</w:t>
            </w:r>
          </w:p>
        </w:tc>
        <w:tc>
          <w:tcPr>
            <w:tcW w:w="3062" w:type="dxa"/>
            <w:tcBorders>
              <w:left w:val="single" w:sz="8" w:space="0" w:color="FFFFFF"/>
              <w:right w:val="single" w:sz="8" w:space="0" w:color="FFFFFF"/>
            </w:tcBorders>
            <w:tcMar>
              <w:top w:w="64" w:type="dxa"/>
              <w:left w:w="64" w:type="dxa"/>
              <w:bottom w:w="64" w:type="dxa"/>
              <w:right w:w="64" w:type="dxa"/>
            </w:tcMar>
            <w:hideMark/>
          </w:tcPr>
          <w:p w:rsidR="00E50F2F" w:rsidRPr="00E02DF8" w:rsidRDefault="00E50F2F" w:rsidP="00E50F2F">
            <w:pPr>
              <w:shd w:val="clear" w:color="auto" w:fill="FFFFFF"/>
              <w:spacing w:after="60" w:line="240" w:lineRule="auto"/>
              <w:jc w:val="both"/>
              <w:rPr>
                <w:rFonts w:ascii="Arial" w:eastAsia="Times New Roman" w:hAnsi="Arial" w:cs="Arial"/>
                <w:kern w:val="0"/>
                <w:lang w:eastAsia="en-GB"/>
                <w14:ligatures w14:val="none"/>
              </w:rPr>
            </w:pPr>
          </w:p>
        </w:tc>
      </w:tr>
      <w:tr w:rsidR="00E50F2F" w:rsidRPr="00E02DF8" w:rsidTr="00E50F2F">
        <w:trPr>
          <w:trHeight w:val="564"/>
        </w:trPr>
        <w:tc>
          <w:tcPr>
            <w:tcW w:w="0" w:type="auto"/>
            <w:vMerge/>
            <w:tcBorders>
              <w:bottom w:val="single" w:sz="8" w:space="0" w:color="000000"/>
            </w:tcBorders>
            <w:vAlign w:val="center"/>
            <w:hideMark/>
          </w:tcPr>
          <w:p w:rsidR="00E50F2F" w:rsidRPr="00E02DF8" w:rsidRDefault="00E50F2F" w:rsidP="00E50F2F">
            <w:pPr>
              <w:spacing w:after="0" w:line="240" w:lineRule="auto"/>
              <w:rPr>
                <w:rFonts w:ascii="Arial" w:eastAsia="Times New Roman" w:hAnsi="Arial" w:cs="Arial"/>
                <w:kern w:val="0"/>
                <w:lang w:eastAsia="en-GB"/>
                <w14:ligatures w14:val="none"/>
              </w:rPr>
            </w:pPr>
          </w:p>
        </w:tc>
        <w:tc>
          <w:tcPr>
            <w:tcW w:w="0" w:type="auto"/>
            <w:tcMar>
              <w:top w:w="64" w:type="dxa"/>
              <w:left w:w="64" w:type="dxa"/>
              <w:bottom w:w="64" w:type="dxa"/>
              <w:right w:w="64" w:type="dxa"/>
            </w:tcMar>
            <w:hideMark/>
          </w:tcPr>
          <w:p w:rsidR="00E50F2F" w:rsidRPr="00E02DF8" w:rsidRDefault="00E50F2F" w:rsidP="00E50F2F">
            <w:pPr>
              <w:spacing w:after="0" w:line="240" w:lineRule="auto"/>
              <w:rPr>
                <w:rFonts w:ascii="Arial" w:eastAsia="Times New Roman" w:hAnsi="Arial" w:cs="Arial"/>
                <w:kern w:val="0"/>
                <w:lang w:eastAsia="en-GB"/>
                <w14:ligatures w14:val="none"/>
              </w:rPr>
            </w:pPr>
            <w:r w:rsidRPr="00E02DF8">
              <w:rPr>
                <w:rFonts w:ascii="Arial" w:eastAsia="Times New Roman" w:hAnsi="Arial" w:cs="Arial"/>
                <w:color w:val="000000"/>
                <w:kern w:val="0"/>
                <w:sz w:val="18"/>
                <w:szCs w:val="18"/>
                <w:lang w:eastAsia="en-GB"/>
                <w14:ligatures w14:val="none"/>
              </w:rPr>
              <w:t>3.5</w:t>
            </w:r>
          </w:p>
        </w:tc>
        <w:tc>
          <w:tcPr>
            <w:tcW w:w="3671" w:type="dxa"/>
            <w:tcMar>
              <w:top w:w="64" w:type="dxa"/>
              <w:left w:w="64" w:type="dxa"/>
              <w:bottom w:w="64" w:type="dxa"/>
              <w:right w:w="64" w:type="dxa"/>
            </w:tcMar>
            <w:hideMark/>
          </w:tcPr>
          <w:p w:rsidR="00E50F2F" w:rsidRPr="00E02DF8" w:rsidRDefault="00E50F2F" w:rsidP="00E50F2F">
            <w:pPr>
              <w:shd w:val="clear" w:color="auto" w:fill="FFFFFF"/>
              <w:spacing w:after="60" w:line="240" w:lineRule="auto"/>
              <w:jc w:val="both"/>
              <w:rPr>
                <w:rFonts w:ascii="Arial" w:eastAsia="Times New Roman" w:hAnsi="Arial" w:cs="Arial"/>
                <w:kern w:val="0"/>
                <w:lang w:eastAsia="en-GB"/>
                <w14:ligatures w14:val="none"/>
              </w:rPr>
            </w:pPr>
            <w:r w:rsidRPr="00E02DF8">
              <w:rPr>
                <w:rFonts w:ascii="Arial" w:eastAsia="Times New Roman" w:hAnsi="Arial" w:cs="Arial"/>
                <w:b/>
                <w:bCs/>
                <w:color w:val="000000"/>
                <w:kern w:val="0"/>
                <w:sz w:val="18"/>
                <w:szCs w:val="18"/>
                <w:lang w:eastAsia="en-GB"/>
                <w14:ligatures w14:val="none"/>
              </w:rPr>
              <w:t xml:space="preserve">The assessment procedure. </w:t>
            </w:r>
            <w:r w:rsidRPr="00E02DF8">
              <w:rPr>
                <w:rFonts w:ascii="Arial" w:eastAsia="Times New Roman" w:hAnsi="Arial" w:cs="Arial"/>
                <w:color w:val="000000"/>
                <w:kern w:val="0"/>
                <w:sz w:val="18"/>
                <w:szCs w:val="18"/>
                <w:lang w:eastAsia="en-GB"/>
                <w14:ligatures w14:val="none"/>
              </w:rPr>
              <w:t>The procedure that the experts followed for their assessment.</w:t>
            </w:r>
          </w:p>
        </w:tc>
        <w:tc>
          <w:tcPr>
            <w:tcW w:w="3062" w:type="dxa"/>
            <w:tcMar>
              <w:top w:w="64" w:type="dxa"/>
              <w:left w:w="64" w:type="dxa"/>
              <w:bottom w:w="64" w:type="dxa"/>
              <w:right w:w="64" w:type="dxa"/>
            </w:tcMar>
            <w:hideMark/>
          </w:tcPr>
          <w:p w:rsidR="00E50F2F" w:rsidRPr="00E02DF8" w:rsidRDefault="00E50F2F" w:rsidP="00E50F2F">
            <w:pPr>
              <w:shd w:val="clear" w:color="auto" w:fill="FFFFFF"/>
              <w:spacing w:after="60" w:line="240" w:lineRule="auto"/>
              <w:jc w:val="both"/>
              <w:rPr>
                <w:rFonts w:ascii="Arial" w:eastAsia="Times New Roman" w:hAnsi="Arial" w:cs="Arial"/>
                <w:kern w:val="0"/>
                <w:lang w:eastAsia="en-GB"/>
                <w14:ligatures w14:val="none"/>
              </w:rPr>
            </w:pPr>
          </w:p>
        </w:tc>
      </w:tr>
      <w:tr w:rsidR="00E50F2F" w:rsidRPr="00E02DF8" w:rsidTr="00E50F2F">
        <w:trPr>
          <w:trHeight w:val="400"/>
        </w:trPr>
        <w:tc>
          <w:tcPr>
            <w:tcW w:w="0" w:type="auto"/>
            <w:vMerge/>
            <w:tcBorders>
              <w:bottom w:val="single" w:sz="8" w:space="0" w:color="000000"/>
            </w:tcBorders>
            <w:vAlign w:val="center"/>
            <w:hideMark/>
          </w:tcPr>
          <w:p w:rsidR="00E50F2F" w:rsidRPr="00E02DF8" w:rsidRDefault="00E50F2F" w:rsidP="00E50F2F">
            <w:pPr>
              <w:spacing w:after="0" w:line="240" w:lineRule="auto"/>
              <w:rPr>
                <w:rFonts w:ascii="Arial" w:eastAsia="Times New Roman" w:hAnsi="Arial" w:cs="Arial"/>
                <w:kern w:val="0"/>
                <w:lang w:eastAsia="en-GB"/>
                <w14:ligatures w14:val="none"/>
              </w:rPr>
            </w:pPr>
          </w:p>
        </w:tc>
        <w:tc>
          <w:tcPr>
            <w:tcW w:w="0" w:type="auto"/>
            <w:tcMar>
              <w:top w:w="64" w:type="dxa"/>
              <w:left w:w="64" w:type="dxa"/>
              <w:bottom w:w="64" w:type="dxa"/>
              <w:right w:w="64" w:type="dxa"/>
            </w:tcMar>
            <w:hideMark/>
          </w:tcPr>
          <w:p w:rsidR="00E50F2F" w:rsidRPr="00E02DF8" w:rsidRDefault="00E50F2F" w:rsidP="00E50F2F">
            <w:pPr>
              <w:spacing w:after="0" w:line="240" w:lineRule="auto"/>
              <w:rPr>
                <w:rFonts w:ascii="Arial" w:eastAsia="Times New Roman" w:hAnsi="Arial" w:cs="Arial"/>
                <w:kern w:val="0"/>
                <w:lang w:eastAsia="en-GB"/>
                <w14:ligatures w14:val="none"/>
              </w:rPr>
            </w:pPr>
            <w:r w:rsidRPr="00E02DF8">
              <w:rPr>
                <w:rFonts w:ascii="Arial" w:eastAsia="Times New Roman" w:hAnsi="Arial" w:cs="Arial"/>
                <w:color w:val="000000"/>
                <w:kern w:val="0"/>
                <w:sz w:val="18"/>
                <w:szCs w:val="18"/>
                <w:lang w:eastAsia="en-GB"/>
                <w14:ligatures w14:val="none"/>
              </w:rPr>
              <w:t>3.6</w:t>
            </w:r>
          </w:p>
        </w:tc>
        <w:tc>
          <w:tcPr>
            <w:tcW w:w="3671" w:type="dxa"/>
            <w:tcMar>
              <w:top w:w="64" w:type="dxa"/>
              <w:left w:w="64" w:type="dxa"/>
              <w:bottom w:w="64" w:type="dxa"/>
              <w:right w:w="64" w:type="dxa"/>
            </w:tcMar>
            <w:hideMark/>
          </w:tcPr>
          <w:p w:rsidR="00E50F2F" w:rsidRPr="00E02DF8" w:rsidRDefault="00E50F2F" w:rsidP="00E50F2F">
            <w:pPr>
              <w:shd w:val="clear" w:color="auto" w:fill="FFFFFF"/>
              <w:spacing w:after="60" w:line="240" w:lineRule="auto"/>
              <w:jc w:val="both"/>
              <w:rPr>
                <w:rFonts w:ascii="Arial" w:eastAsia="Times New Roman" w:hAnsi="Arial" w:cs="Arial"/>
                <w:kern w:val="0"/>
                <w:lang w:eastAsia="en-GB"/>
                <w14:ligatures w14:val="none"/>
              </w:rPr>
            </w:pPr>
            <w:r w:rsidRPr="00E02DF8">
              <w:rPr>
                <w:rFonts w:ascii="Arial" w:eastAsia="Times New Roman" w:hAnsi="Arial" w:cs="Arial"/>
                <w:b/>
                <w:bCs/>
                <w:color w:val="000000"/>
                <w:kern w:val="0"/>
                <w:sz w:val="18"/>
                <w:szCs w:val="18"/>
                <w:lang w:eastAsia="en-GB"/>
                <w14:ligatures w14:val="none"/>
              </w:rPr>
              <w:t xml:space="preserve">The assessment response format. </w:t>
            </w:r>
            <w:r w:rsidRPr="00E02DF8">
              <w:rPr>
                <w:rFonts w:ascii="Arial" w:eastAsia="Times New Roman" w:hAnsi="Arial" w:cs="Arial"/>
                <w:color w:val="000000"/>
                <w:kern w:val="0"/>
                <w:sz w:val="18"/>
                <w:szCs w:val="18"/>
                <w:lang w:eastAsia="en-GB"/>
                <w14:ligatures w14:val="none"/>
              </w:rPr>
              <w:t>The response format used by the experts for their individual assessments, what it included, and how it was structured.</w:t>
            </w:r>
          </w:p>
        </w:tc>
        <w:tc>
          <w:tcPr>
            <w:tcW w:w="3062" w:type="dxa"/>
            <w:tcMar>
              <w:top w:w="64" w:type="dxa"/>
              <w:left w:w="64" w:type="dxa"/>
              <w:bottom w:w="64" w:type="dxa"/>
              <w:right w:w="64" w:type="dxa"/>
            </w:tcMar>
            <w:hideMark/>
          </w:tcPr>
          <w:p w:rsidR="00E50F2F" w:rsidRPr="00E02DF8" w:rsidRDefault="00E50F2F" w:rsidP="00E50F2F">
            <w:pPr>
              <w:shd w:val="clear" w:color="auto" w:fill="FFFFFF"/>
              <w:spacing w:after="60" w:line="240" w:lineRule="auto"/>
              <w:jc w:val="both"/>
              <w:rPr>
                <w:rFonts w:ascii="Arial" w:eastAsia="Times New Roman" w:hAnsi="Arial" w:cs="Arial"/>
                <w:kern w:val="0"/>
                <w:lang w:eastAsia="en-GB"/>
                <w14:ligatures w14:val="none"/>
              </w:rPr>
            </w:pPr>
          </w:p>
        </w:tc>
      </w:tr>
      <w:tr w:rsidR="00E50F2F" w:rsidRPr="00E02DF8" w:rsidTr="00E50F2F">
        <w:trPr>
          <w:trHeight w:val="400"/>
        </w:trPr>
        <w:tc>
          <w:tcPr>
            <w:tcW w:w="0" w:type="auto"/>
            <w:vMerge/>
            <w:tcBorders>
              <w:top w:val="single" w:sz="8" w:space="0" w:color="B7B7B7"/>
              <w:bottom w:val="single" w:sz="8" w:space="0" w:color="000000"/>
            </w:tcBorders>
            <w:vAlign w:val="center"/>
            <w:hideMark/>
          </w:tcPr>
          <w:p w:rsidR="00E50F2F" w:rsidRPr="00E02DF8" w:rsidRDefault="00E50F2F" w:rsidP="00E50F2F">
            <w:pPr>
              <w:spacing w:after="0" w:line="240" w:lineRule="auto"/>
              <w:rPr>
                <w:rFonts w:ascii="Arial" w:eastAsia="Times New Roman" w:hAnsi="Arial" w:cs="Arial"/>
                <w:kern w:val="0"/>
                <w:lang w:eastAsia="en-GB"/>
                <w14:ligatures w14:val="none"/>
              </w:rPr>
            </w:pPr>
          </w:p>
        </w:tc>
        <w:tc>
          <w:tcPr>
            <w:tcW w:w="0" w:type="auto"/>
            <w:tcMar>
              <w:top w:w="64" w:type="dxa"/>
              <w:left w:w="64" w:type="dxa"/>
              <w:bottom w:w="64" w:type="dxa"/>
              <w:right w:w="64" w:type="dxa"/>
            </w:tcMar>
            <w:hideMark/>
          </w:tcPr>
          <w:p w:rsidR="00E50F2F" w:rsidRPr="00E02DF8" w:rsidRDefault="00E50F2F" w:rsidP="00E50F2F">
            <w:pPr>
              <w:spacing w:after="0" w:line="240" w:lineRule="auto"/>
              <w:rPr>
                <w:rFonts w:ascii="Arial" w:eastAsia="Times New Roman" w:hAnsi="Arial" w:cs="Arial"/>
                <w:kern w:val="0"/>
                <w:lang w:eastAsia="en-GB"/>
                <w14:ligatures w14:val="none"/>
              </w:rPr>
            </w:pPr>
            <w:r w:rsidRPr="00E02DF8">
              <w:rPr>
                <w:rFonts w:ascii="Arial" w:eastAsia="Times New Roman" w:hAnsi="Arial" w:cs="Arial"/>
                <w:color w:val="000000"/>
                <w:kern w:val="0"/>
                <w:sz w:val="18"/>
                <w:szCs w:val="18"/>
                <w:lang w:eastAsia="en-GB"/>
                <w14:ligatures w14:val="none"/>
              </w:rPr>
              <w:t>3.7</w:t>
            </w:r>
          </w:p>
        </w:tc>
        <w:tc>
          <w:tcPr>
            <w:tcW w:w="3671" w:type="dxa"/>
            <w:tcMar>
              <w:top w:w="64" w:type="dxa"/>
              <w:left w:w="64" w:type="dxa"/>
              <w:bottom w:w="64" w:type="dxa"/>
              <w:right w:w="64" w:type="dxa"/>
            </w:tcMar>
            <w:hideMark/>
          </w:tcPr>
          <w:p w:rsidR="00E50F2F" w:rsidRPr="00E02DF8" w:rsidRDefault="00E50F2F" w:rsidP="00E50F2F">
            <w:pPr>
              <w:shd w:val="clear" w:color="auto" w:fill="FFFFFF"/>
              <w:spacing w:after="60" w:line="240" w:lineRule="auto"/>
              <w:jc w:val="both"/>
              <w:rPr>
                <w:rFonts w:ascii="Arial" w:eastAsia="Times New Roman" w:hAnsi="Arial" w:cs="Arial"/>
                <w:kern w:val="0"/>
                <w:lang w:eastAsia="en-GB"/>
                <w14:ligatures w14:val="none"/>
              </w:rPr>
            </w:pPr>
            <w:r w:rsidRPr="00E02DF8">
              <w:rPr>
                <w:rFonts w:ascii="Arial" w:eastAsia="Times New Roman" w:hAnsi="Arial" w:cs="Arial"/>
                <w:b/>
                <w:bCs/>
                <w:color w:val="000000"/>
                <w:kern w:val="0"/>
                <w:sz w:val="18"/>
                <w:szCs w:val="18"/>
                <w:lang w:eastAsia="en-GB"/>
                <w14:ligatures w14:val="none"/>
              </w:rPr>
              <w:t>The data combination method.</w:t>
            </w:r>
            <w:r w:rsidRPr="00E02DF8">
              <w:rPr>
                <w:rFonts w:ascii="Arial" w:eastAsia="Times New Roman" w:hAnsi="Arial" w:cs="Arial"/>
                <w:color w:val="000000"/>
                <w:kern w:val="0"/>
                <w:sz w:val="18"/>
                <w:szCs w:val="18"/>
                <w:lang w:eastAsia="en-GB"/>
                <w14:ligatures w14:val="none"/>
              </w:rPr>
              <w:t xml:space="preserve"> The method or guidelines for how the data should be weighted, judged, and combined by the individual experts to reach a conclusion in their individual assessment.</w:t>
            </w:r>
          </w:p>
        </w:tc>
        <w:tc>
          <w:tcPr>
            <w:tcW w:w="3062" w:type="dxa"/>
            <w:tcMar>
              <w:top w:w="64" w:type="dxa"/>
              <w:left w:w="64" w:type="dxa"/>
              <w:bottom w:w="64" w:type="dxa"/>
              <w:right w:w="64" w:type="dxa"/>
            </w:tcMar>
            <w:hideMark/>
          </w:tcPr>
          <w:p w:rsidR="00E50F2F" w:rsidRPr="00E02DF8" w:rsidRDefault="00E50F2F" w:rsidP="00E50F2F">
            <w:pPr>
              <w:shd w:val="clear" w:color="auto" w:fill="FFFFFF"/>
              <w:spacing w:after="60" w:line="240" w:lineRule="auto"/>
              <w:jc w:val="both"/>
              <w:rPr>
                <w:rFonts w:ascii="Arial" w:eastAsia="Times New Roman" w:hAnsi="Arial" w:cs="Arial"/>
                <w:kern w:val="0"/>
                <w:lang w:eastAsia="en-GB"/>
                <w14:ligatures w14:val="none"/>
              </w:rPr>
            </w:pPr>
          </w:p>
        </w:tc>
      </w:tr>
      <w:tr w:rsidR="00E50F2F" w:rsidRPr="00E02DF8" w:rsidTr="00E50F2F">
        <w:trPr>
          <w:trHeight w:val="400"/>
        </w:trPr>
        <w:tc>
          <w:tcPr>
            <w:tcW w:w="0" w:type="auto"/>
            <w:vMerge/>
            <w:tcBorders>
              <w:top w:val="single" w:sz="8" w:space="0" w:color="B7B7B7"/>
              <w:bottom w:val="single" w:sz="8" w:space="0" w:color="000000"/>
            </w:tcBorders>
            <w:vAlign w:val="center"/>
            <w:hideMark/>
          </w:tcPr>
          <w:p w:rsidR="00E50F2F" w:rsidRPr="00E02DF8" w:rsidRDefault="00E50F2F" w:rsidP="00E50F2F">
            <w:pPr>
              <w:spacing w:after="0" w:line="240" w:lineRule="auto"/>
              <w:rPr>
                <w:rFonts w:ascii="Arial" w:eastAsia="Times New Roman" w:hAnsi="Arial" w:cs="Arial"/>
                <w:kern w:val="0"/>
                <w:lang w:eastAsia="en-GB"/>
                <w14:ligatures w14:val="none"/>
              </w:rPr>
            </w:pPr>
          </w:p>
        </w:tc>
        <w:tc>
          <w:tcPr>
            <w:tcW w:w="0" w:type="auto"/>
            <w:tcMar>
              <w:top w:w="64" w:type="dxa"/>
              <w:left w:w="64" w:type="dxa"/>
              <w:bottom w:w="64" w:type="dxa"/>
              <w:right w:w="64" w:type="dxa"/>
            </w:tcMar>
            <w:hideMark/>
          </w:tcPr>
          <w:p w:rsidR="00E50F2F" w:rsidRPr="00E02DF8" w:rsidRDefault="00E50F2F" w:rsidP="00E50F2F">
            <w:pPr>
              <w:spacing w:after="0" w:line="240" w:lineRule="auto"/>
              <w:rPr>
                <w:rFonts w:ascii="Arial" w:eastAsia="Times New Roman" w:hAnsi="Arial" w:cs="Arial"/>
                <w:kern w:val="0"/>
                <w:lang w:eastAsia="en-GB"/>
                <w14:ligatures w14:val="none"/>
              </w:rPr>
            </w:pPr>
            <w:r w:rsidRPr="00E02DF8">
              <w:rPr>
                <w:rFonts w:ascii="Arial" w:eastAsia="Times New Roman" w:hAnsi="Arial" w:cs="Arial"/>
                <w:color w:val="000000"/>
                <w:kern w:val="0"/>
                <w:sz w:val="18"/>
                <w:szCs w:val="18"/>
                <w:lang w:eastAsia="en-GB"/>
                <w14:ligatures w14:val="none"/>
              </w:rPr>
              <w:t>3.8</w:t>
            </w:r>
          </w:p>
        </w:tc>
        <w:tc>
          <w:tcPr>
            <w:tcW w:w="3671" w:type="dxa"/>
            <w:tcMar>
              <w:top w:w="64" w:type="dxa"/>
              <w:left w:w="64" w:type="dxa"/>
              <w:bottom w:w="64" w:type="dxa"/>
              <w:right w:w="64" w:type="dxa"/>
            </w:tcMar>
            <w:hideMark/>
          </w:tcPr>
          <w:p w:rsidR="00E50F2F" w:rsidRPr="00E02DF8" w:rsidRDefault="00E50F2F" w:rsidP="00E50F2F">
            <w:pPr>
              <w:shd w:val="clear" w:color="auto" w:fill="FFFFFF"/>
              <w:spacing w:after="60" w:line="240" w:lineRule="auto"/>
              <w:jc w:val="both"/>
              <w:rPr>
                <w:rFonts w:ascii="Arial" w:eastAsia="Times New Roman" w:hAnsi="Arial" w:cs="Arial"/>
                <w:kern w:val="0"/>
                <w:lang w:eastAsia="en-GB"/>
                <w14:ligatures w14:val="none"/>
              </w:rPr>
            </w:pPr>
            <w:r w:rsidRPr="00E02DF8">
              <w:rPr>
                <w:rFonts w:ascii="Arial" w:eastAsia="Times New Roman" w:hAnsi="Arial" w:cs="Arial"/>
                <w:b/>
                <w:bCs/>
                <w:color w:val="000000"/>
                <w:kern w:val="0"/>
                <w:sz w:val="18"/>
                <w:szCs w:val="18"/>
                <w:lang w:eastAsia="en-GB"/>
                <w14:ligatures w14:val="none"/>
              </w:rPr>
              <w:t xml:space="preserve">Independent expert assessments. </w:t>
            </w:r>
            <w:r w:rsidRPr="00E02DF8">
              <w:rPr>
                <w:rFonts w:ascii="Arial" w:eastAsia="Times New Roman" w:hAnsi="Arial" w:cs="Arial"/>
                <w:color w:val="000000"/>
                <w:kern w:val="0"/>
                <w:sz w:val="18"/>
                <w:szCs w:val="18"/>
                <w:lang w:eastAsia="en-GB"/>
                <w14:ligatures w14:val="none"/>
              </w:rPr>
              <w:t>Whether and how the experts first evaluated the data individually and made their first individual assessments independently.</w:t>
            </w:r>
          </w:p>
        </w:tc>
        <w:tc>
          <w:tcPr>
            <w:tcW w:w="3062" w:type="dxa"/>
            <w:tcMar>
              <w:top w:w="64" w:type="dxa"/>
              <w:left w:w="64" w:type="dxa"/>
              <w:bottom w:w="64" w:type="dxa"/>
              <w:right w:w="64" w:type="dxa"/>
            </w:tcMar>
            <w:hideMark/>
          </w:tcPr>
          <w:p w:rsidR="00E50F2F" w:rsidRPr="00E02DF8" w:rsidRDefault="00E50F2F" w:rsidP="00E50F2F">
            <w:pPr>
              <w:shd w:val="clear" w:color="auto" w:fill="FFFFFF"/>
              <w:spacing w:after="60" w:line="240" w:lineRule="auto"/>
              <w:jc w:val="both"/>
              <w:rPr>
                <w:rFonts w:ascii="Arial" w:eastAsia="Times New Roman" w:hAnsi="Arial" w:cs="Arial"/>
                <w:kern w:val="0"/>
                <w:lang w:eastAsia="en-GB"/>
                <w14:ligatures w14:val="none"/>
              </w:rPr>
            </w:pPr>
          </w:p>
        </w:tc>
      </w:tr>
      <w:tr w:rsidR="00E50F2F" w:rsidRPr="00E02DF8" w:rsidTr="00E50F2F">
        <w:trPr>
          <w:trHeight w:val="400"/>
        </w:trPr>
        <w:tc>
          <w:tcPr>
            <w:tcW w:w="0" w:type="auto"/>
            <w:vMerge/>
            <w:tcBorders>
              <w:top w:val="single" w:sz="8" w:space="0" w:color="B7B7B7"/>
              <w:bottom w:val="single" w:sz="8" w:space="0" w:color="000000"/>
            </w:tcBorders>
            <w:vAlign w:val="center"/>
            <w:hideMark/>
          </w:tcPr>
          <w:p w:rsidR="00E50F2F" w:rsidRPr="00E02DF8" w:rsidRDefault="00E50F2F" w:rsidP="00E50F2F">
            <w:pPr>
              <w:spacing w:after="0" w:line="240" w:lineRule="auto"/>
              <w:rPr>
                <w:rFonts w:ascii="Arial" w:eastAsia="Times New Roman" w:hAnsi="Arial" w:cs="Arial"/>
                <w:kern w:val="0"/>
                <w:lang w:eastAsia="en-GB"/>
                <w14:ligatures w14:val="none"/>
              </w:rPr>
            </w:pPr>
          </w:p>
        </w:tc>
        <w:tc>
          <w:tcPr>
            <w:tcW w:w="0" w:type="auto"/>
            <w:tcMar>
              <w:top w:w="64" w:type="dxa"/>
              <w:left w:w="64" w:type="dxa"/>
              <w:bottom w:w="64" w:type="dxa"/>
              <w:right w:w="64" w:type="dxa"/>
            </w:tcMar>
            <w:hideMark/>
          </w:tcPr>
          <w:p w:rsidR="00E50F2F" w:rsidRPr="00E02DF8" w:rsidRDefault="00E50F2F" w:rsidP="00E50F2F">
            <w:pPr>
              <w:spacing w:after="0" w:line="240" w:lineRule="auto"/>
              <w:rPr>
                <w:rFonts w:ascii="Arial" w:eastAsia="Times New Roman" w:hAnsi="Arial" w:cs="Arial"/>
                <w:kern w:val="0"/>
                <w:lang w:eastAsia="en-GB"/>
                <w14:ligatures w14:val="none"/>
              </w:rPr>
            </w:pPr>
            <w:r w:rsidRPr="00E02DF8">
              <w:rPr>
                <w:rFonts w:ascii="Arial" w:eastAsia="Times New Roman" w:hAnsi="Arial" w:cs="Arial"/>
                <w:color w:val="000000"/>
                <w:kern w:val="0"/>
                <w:sz w:val="18"/>
                <w:szCs w:val="18"/>
                <w:lang w:eastAsia="en-GB"/>
                <w14:ligatures w14:val="none"/>
              </w:rPr>
              <w:t>3.9 </w:t>
            </w:r>
          </w:p>
        </w:tc>
        <w:tc>
          <w:tcPr>
            <w:tcW w:w="3671" w:type="dxa"/>
            <w:tcMar>
              <w:top w:w="64" w:type="dxa"/>
              <w:left w:w="64" w:type="dxa"/>
              <w:bottom w:w="64" w:type="dxa"/>
              <w:right w:w="64" w:type="dxa"/>
            </w:tcMar>
            <w:hideMark/>
          </w:tcPr>
          <w:p w:rsidR="00E50F2F" w:rsidRPr="00E02DF8" w:rsidRDefault="00E50F2F" w:rsidP="00E50F2F">
            <w:pPr>
              <w:shd w:val="clear" w:color="auto" w:fill="FFFFFF"/>
              <w:spacing w:after="60" w:line="240" w:lineRule="auto"/>
              <w:jc w:val="both"/>
              <w:rPr>
                <w:rFonts w:ascii="Arial" w:eastAsia="Times New Roman" w:hAnsi="Arial" w:cs="Arial"/>
                <w:kern w:val="0"/>
                <w:lang w:eastAsia="en-GB"/>
                <w14:ligatures w14:val="none"/>
              </w:rPr>
            </w:pPr>
            <w:r w:rsidRPr="00E02DF8">
              <w:rPr>
                <w:rFonts w:ascii="Arial" w:eastAsia="Times New Roman" w:hAnsi="Arial" w:cs="Arial"/>
                <w:b/>
                <w:bCs/>
                <w:color w:val="000000"/>
                <w:kern w:val="0"/>
                <w:sz w:val="18"/>
                <w:szCs w:val="18"/>
                <w:lang w:eastAsia="en-GB"/>
                <w14:ligatures w14:val="none"/>
              </w:rPr>
              <w:t xml:space="preserve">The inter-rater and inter-panel reliability. </w:t>
            </w:r>
            <w:r w:rsidRPr="00E02DF8">
              <w:rPr>
                <w:rFonts w:ascii="Arial" w:eastAsia="Times New Roman" w:hAnsi="Arial" w:cs="Arial"/>
                <w:color w:val="000000"/>
                <w:kern w:val="0"/>
                <w:sz w:val="18"/>
                <w:szCs w:val="18"/>
                <w:lang w:eastAsia="en-GB"/>
                <w14:ligatures w14:val="none"/>
              </w:rPr>
              <w:t>The inter-rater/inter-panel reliability, how it was calculated and evaluated, or why it was not possible to calculate it.</w:t>
            </w:r>
          </w:p>
        </w:tc>
        <w:tc>
          <w:tcPr>
            <w:tcW w:w="3062" w:type="dxa"/>
            <w:tcMar>
              <w:top w:w="64" w:type="dxa"/>
              <w:left w:w="64" w:type="dxa"/>
              <w:bottom w:w="64" w:type="dxa"/>
              <w:right w:w="64" w:type="dxa"/>
            </w:tcMar>
            <w:hideMark/>
          </w:tcPr>
          <w:p w:rsidR="00E50F2F" w:rsidRPr="00E02DF8" w:rsidRDefault="00E50F2F" w:rsidP="00E50F2F">
            <w:pPr>
              <w:shd w:val="clear" w:color="auto" w:fill="FFFFFF"/>
              <w:spacing w:after="60" w:line="240" w:lineRule="auto"/>
              <w:jc w:val="both"/>
              <w:rPr>
                <w:rFonts w:ascii="Arial" w:eastAsia="Times New Roman" w:hAnsi="Arial" w:cs="Arial"/>
                <w:kern w:val="0"/>
                <w:lang w:eastAsia="en-GB"/>
                <w14:ligatures w14:val="none"/>
              </w:rPr>
            </w:pPr>
          </w:p>
        </w:tc>
      </w:tr>
      <w:tr w:rsidR="00E50F2F" w:rsidRPr="00E02DF8" w:rsidTr="00E50F2F">
        <w:trPr>
          <w:trHeight w:val="400"/>
        </w:trPr>
        <w:tc>
          <w:tcPr>
            <w:tcW w:w="0" w:type="auto"/>
            <w:vMerge/>
            <w:tcBorders>
              <w:top w:val="single" w:sz="8" w:space="0" w:color="B7B7B7"/>
              <w:bottom w:val="single" w:sz="8" w:space="0" w:color="000000"/>
            </w:tcBorders>
            <w:vAlign w:val="center"/>
            <w:hideMark/>
          </w:tcPr>
          <w:p w:rsidR="00E50F2F" w:rsidRPr="00E02DF8" w:rsidRDefault="00E50F2F" w:rsidP="00E50F2F">
            <w:pPr>
              <w:spacing w:after="0" w:line="240" w:lineRule="auto"/>
              <w:rPr>
                <w:rFonts w:ascii="Arial" w:eastAsia="Times New Roman" w:hAnsi="Arial" w:cs="Arial"/>
                <w:kern w:val="0"/>
                <w:lang w:eastAsia="en-GB"/>
                <w14:ligatures w14:val="none"/>
              </w:rPr>
            </w:pPr>
          </w:p>
        </w:tc>
        <w:tc>
          <w:tcPr>
            <w:tcW w:w="0" w:type="auto"/>
            <w:tcBorders>
              <w:bottom w:val="single" w:sz="8" w:space="0" w:color="B7B7B7"/>
            </w:tcBorders>
            <w:tcMar>
              <w:top w:w="64" w:type="dxa"/>
              <w:left w:w="64" w:type="dxa"/>
              <w:bottom w:w="64" w:type="dxa"/>
              <w:right w:w="64" w:type="dxa"/>
            </w:tcMar>
            <w:hideMark/>
          </w:tcPr>
          <w:p w:rsidR="00E50F2F" w:rsidRPr="00E02DF8" w:rsidRDefault="00E50F2F" w:rsidP="00E50F2F">
            <w:pPr>
              <w:spacing w:after="0" w:line="240" w:lineRule="auto"/>
              <w:rPr>
                <w:rFonts w:ascii="Arial" w:eastAsia="Times New Roman" w:hAnsi="Arial" w:cs="Arial"/>
                <w:kern w:val="0"/>
                <w:lang w:eastAsia="en-GB"/>
                <w14:ligatures w14:val="none"/>
              </w:rPr>
            </w:pPr>
            <w:r w:rsidRPr="00E02DF8">
              <w:rPr>
                <w:rFonts w:ascii="Arial" w:eastAsia="Times New Roman" w:hAnsi="Arial" w:cs="Arial"/>
                <w:color w:val="000000"/>
                <w:kern w:val="0"/>
                <w:sz w:val="18"/>
                <w:szCs w:val="18"/>
                <w:lang w:eastAsia="en-GB"/>
                <w14:ligatures w14:val="none"/>
              </w:rPr>
              <w:t>3.10</w:t>
            </w:r>
          </w:p>
        </w:tc>
        <w:tc>
          <w:tcPr>
            <w:tcW w:w="3671" w:type="dxa"/>
            <w:tcBorders>
              <w:bottom w:val="single" w:sz="8" w:space="0" w:color="B7B7B7"/>
            </w:tcBorders>
            <w:tcMar>
              <w:top w:w="64" w:type="dxa"/>
              <w:left w:w="64" w:type="dxa"/>
              <w:bottom w:w="64" w:type="dxa"/>
              <w:right w:w="64" w:type="dxa"/>
            </w:tcMar>
            <w:hideMark/>
          </w:tcPr>
          <w:p w:rsidR="00E50F2F" w:rsidRPr="00E02DF8" w:rsidRDefault="00E50F2F" w:rsidP="00E50F2F">
            <w:pPr>
              <w:shd w:val="clear" w:color="auto" w:fill="FFFFFF"/>
              <w:spacing w:after="60" w:line="240" w:lineRule="auto"/>
              <w:jc w:val="both"/>
              <w:rPr>
                <w:rFonts w:ascii="Arial" w:eastAsia="Times New Roman" w:hAnsi="Arial" w:cs="Arial"/>
                <w:kern w:val="0"/>
                <w:lang w:eastAsia="en-GB"/>
                <w14:ligatures w14:val="none"/>
              </w:rPr>
            </w:pPr>
            <w:r w:rsidRPr="00E02DF8">
              <w:rPr>
                <w:rFonts w:ascii="Arial" w:eastAsia="Times New Roman" w:hAnsi="Arial" w:cs="Arial"/>
                <w:b/>
                <w:bCs/>
                <w:color w:val="000000"/>
                <w:kern w:val="0"/>
                <w:sz w:val="18"/>
                <w:szCs w:val="18"/>
                <w:lang w:eastAsia="en-GB"/>
                <w14:ligatures w14:val="none"/>
              </w:rPr>
              <w:t xml:space="preserve">The solution to disagreements. </w:t>
            </w:r>
            <w:r w:rsidRPr="00E02DF8">
              <w:rPr>
                <w:rFonts w:ascii="Arial" w:eastAsia="Times New Roman" w:hAnsi="Arial" w:cs="Arial"/>
                <w:color w:val="000000"/>
                <w:kern w:val="0"/>
                <w:sz w:val="18"/>
                <w:szCs w:val="18"/>
                <w:lang w:eastAsia="en-GB"/>
                <w14:ligatures w14:val="none"/>
              </w:rPr>
              <w:t>The approach for solving (any) disagreements between the individual expert assessments, the rationale for the chosen approach, and potential problems that may have occurred and how these were assessed.</w:t>
            </w:r>
          </w:p>
        </w:tc>
        <w:tc>
          <w:tcPr>
            <w:tcW w:w="3062" w:type="dxa"/>
            <w:tcBorders>
              <w:bottom w:val="single" w:sz="8" w:space="0" w:color="B7B7B7"/>
            </w:tcBorders>
            <w:tcMar>
              <w:top w:w="64" w:type="dxa"/>
              <w:left w:w="64" w:type="dxa"/>
              <w:bottom w:w="64" w:type="dxa"/>
              <w:right w:w="64" w:type="dxa"/>
            </w:tcMar>
            <w:hideMark/>
          </w:tcPr>
          <w:p w:rsidR="00E50F2F" w:rsidRPr="00E02DF8" w:rsidRDefault="00E50F2F" w:rsidP="00E50F2F">
            <w:pPr>
              <w:shd w:val="clear" w:color="auto" w:fill="FFFFFF"/>
              <w:spacing w:after="60" w:line="240" w:lineRule="auto"/>
              <w:jc w:val="both"/>
              <w:rPr>
                <w:rFonts w:ascii="Arial" w:eastAsia="Times New Roman" w:hAnsi="Arial" w:cs="Arial"/>
                <w:kern w:val="0"/>
                <w:lang w:eastAsia="en-GB"/>
                <w14:ligatures w14:val="none"/>
              </w:rPr>
            </w:pPr>
          </w:p>
        </w:tc>
      </w:tr>
      <w:tr w:rsidR="00E50F2F" w:rsidRPr="00E02DF8" w:rsidTr="00E50F2F">
        <w:trPr>
          <w:trHeight w:val="400"/>
        </w:trPr>
        <w:tc>
          <w:tcPr>
            <w:tcW w:w="0" w:type="auto"/>
            <w:vMerge w:val="restart"/>
            <w:tcBorders>
              <w:top w:val="single" w:sz="4" w:space="0" w:color="000000" w:themeColor="text1"/>
              <w:bottom w:val="single" w:sz="8" w:space="0" w:color="000000"/>
            </w:tcBorders>
            <w:tcMar>
              <w:top w:w="64" w:type="dxa"/>
              <w:left w:w="64" w:type="dxa"/>
              <w:bottom w:w="64" w:type="dxa"/>
              <w:right w:w="64" w:type="dxa"/>
            </w:tcMar>
            <w:vAlign w:val="center"/>
            <w:hideMark/>
          </w:tcPr>
          <w:p w:rsidR="00E50F2F" w:rsidRPr="00E02DF8" w:rsidRDefault="00E50F2F" w:rsidP="00E50F2F">
            <w:pPr>
              <w:spacing w:after="0" w:line="240" w:lineRule="auto"/>
              <w:rPr>
                <w:rFonts w:ascii="Arial" w:eastAsia="Times New Roman" w:hAnsi="Arial" w:cs="Arial"/>
                <w:kern w:val="0"/>
                <w:lang w:eastAsia="en-GB"/>
                <w14:ligatures w14:val="none"/>
              </w:rPr>
            </w:pPr>
            <w:r w:rsidRPr="00E02DF8">
              <w:rPr>
                <w:rFonts w:ascii="Arial" w:eastAsia="Times New Roman" w:hAnsi="Arial" w:cs="Arial"/>
                <w:b/>
                <w:bCs/>
                <w:color w:val="000000"/>
                <w:kern w:val="0"/>
                <w:sz w:val="18"/>
                <w:szCs w:val="18"/>
                <w:lang w:eastAsia="en-GB"/>
                <w14:ligatures w14:val="none"/>
              </w:rPr>
              <w:t>Validity</w:t>
            </w:r>
          </w:p>
          <w:p w:rsidR="00E50F2F" w:rsidRPr="00E02DF8" w:rsidRDefault="00E50F2F" w:rsidP="00E50F2F">
            <w:pPr>
              <w:spacing w:after="0" w:line="240" w:lineRule="auto"/>
              <w:rPr>
                <w:rFonts w:ascii="Arial" w:eastAsia="Times New Roman" w:hAnsi="Arial" w:cs="Arial"/>
                <w:kern w:val="0"/>
                <w:lang w:eastAsia="en-GB"/>
                <w14:ligatures w14:val="none"/>
              </w:rPr>
            </w:pPr>
          </w:p>
        </w:tc>
        <w:tc>
          <w:tcPr>
            <w:tcW w:w="0" w:type="auto"/>
            <w:tcBorders>
              <w:top w:val="single" w:sz="8" w:space="0" w:color="B7B7B7"/>
            </w:tcBorders>
            <w:tcMar>
              <w:top w:w="64" w:type="dxa"/>
              <w:left w:w="64" w:type="dxa"/>
              <w:bottom w:w="64" w:type="dxa"/>
              <w:right w:w="64" w:type="dxa"/>
            </w:tcMar>
            <w:hideMark/>
          </w:tcPr>
          <w:p w:rsidR="00E50F2F" w:rsidRPr="00E02DF8" w:rsidRDefault="00E50F2F" w:rsidP="00E50F2F">
            <w:pPr>
              <w:spacing w:after="0" w:line="240" w:lineRule="auto"/>
              <w:rPr>
                <w:rFonts w:ascii="Arial" w:eastAsia="Times New Roman" w:hAnsi="Arial" w:cs="Arial"/>
                <w:kern w:val="0"/>
                <w:lang w:eastAsia="en-GB"/>
                <w14:ligatures w14:val="none"/>
              </w:rPr>
            </w:pPr>
            <w:r w:rsidRPr="00E02DF8">
              <w:rPr>
                <w:rFonts w:ascii="Arial" w:eastAsia="Times New Roman" w:hAnsi="Arial" w:cs="Arial"/>
                <w:color w:val="000000"/>
                <w:kern w:val="0"/>
                <w:sz w:val="18"/>
                <w:szCs w:val="18"/>
                <w:lang w:eastAsia="en-GB"/>
                <w14:ligatures w14:val="none"/>
              </w:rPr>
              <w:t>4.1 </w:t>
            </w:r>
          </w:p>
        </w:tc>
        <w:tc>
          <w:tcPr>
            <w:tcW w:w="3671" w:type="dxa"/>
            <w:tcBorders>
              <w:top w:val="single" w:sz="8" w:space="0" w:color="B7B7B7"/>
            </w:tcBorders>
            <w:tcMar>
              <w:top w:w="64" w:type="dxa"/>
              <w:left w:w="64" w:type="dxa"/>
              <w:bottom w:w="64" w:type="dxa"/>
              <w:right w:w="64" w:type="dxa"/>
            </w:tcMar>
            <w:hideMark/>
          </w:tcPr>
          <w:p w:rsidR="00E50F2F" w:rsidRPr="00E02DF8" w:rsidRDefault="00E50F2F" w:rsidP="00E50F2F">
            <w:pPr>
              <w:shd w:val="clear" w:color="auto" w:fill="FFFFFF"/>
              <w:spacing w:after="60" w:line="240" w:lineRule="auto"/>
              <w:jc w:val="both"/>
              <w:rPr>
                <w:rFonts w:ascii="Arial" w:eastAsia="Times New Roman" w:hAnsi="Arial" w:cs="Arial"/>
                <w:kern w:val="0"/>
                <w:lang w:eastAsia="en-GB"/>
                <w14:ligatures w14:val="none"/>
              </w:rPr>
            </w:pPr>
            <w:r w:rsidRPr="00E02DF8">
              <w:rPr>
                <w:rFonts w:ascii="Arial" w:eastAsia="Times New Roman" w:hAnsi="Arial" w:cs="Arial"/>
                <w:b/>
                <w:bCs/>
                <w:color w:val="000000"/>
                <w:kern w:val="0"/>
                <w:sz w:val="18"/>
                <w:szCs w:val="18"/>
                <w:lang w:eastAsia="en-GB"/>
                <w14:ligatures w14:val="none"/>
              </w:rPr>
              <w:t xml:space="preserve">The assessment description. </w:t>
            </w:r>
            <w:r w:rsidRPr="00E02DF8">
              <w:rPr>
                <w:rFonts w:ascii="Arial" w:eastAsia="Times New Roman" w:hAnsi="Arial" w:cs="Arial"/>
                <w:color w:val="000000"/>
                <w:kern w:val="0"/>
                <w:sz w:val="18"/>
                <w:szCs w:val="18"/>
                <w:lang w:eastAsia="en-GB"/>
                <w14:ligatures w14:val="none"/>
              </w:rPr>
              <w:t xml:space="preserve">Description of </w:t>
            </w:r>
            <w:r w:rsidRPr="00E02DF8">
              <w:rPr>
                <w:rFonts w:ascii="Arial" w:eastAsia="Times New Roman" w:hAnsi="Arial" w:cs="Arial"/>
                <w:i/>
                <w:iCs/>
                <w:color w:val="000000"/>
                <w:kern w:val="0"/>
                <w:sz w:val="18"/>
                <w:szCs w:val="18"/>
                <w:lang w:eastAsia="en-GB"/>
                <w14:ligatures w14:val="none"/>
              </w:rPr>
              <w:t>what</w:t>
            </w:r>
            <w:r w:rsidRPr="00E02DF8">
              <w:rPr>
                <w:rFonts w:ascii="Arial" w:eastAsia="Times New Roman" w:hAnsi="Arial" w:cs="Arial"/>
                <w:color w:val="000000"/>
                <w:kern w:val="0"/>
                <w:sz w:val="18"/>
                <w:szCs w:val="18"/>
                <w:lang w:eastAsia="en-GB"/>
                <w14:ligatures w14:val="none"/>
              </w:rPr>
              <w:t xml:space="preserve"> the assessment actually is.</w:t>
            </w:r>
          </w:p>
        </w:tc>
        <w:tc>
          <w:tcPr>
            <w:tcW w:w="3062" w:type="dxa"/>
            <w:tcBorders>
              <w:top w:val="single" w:sz="8" w:space="0" w:color="B7B7B7"/>
            </w:tcBorders>
            <w:tcMar>
              <w:top w:w="64" w:type="dxa"/>
              <w:left w:w="64" w:type="dxa"/>
              <w:bottom w:w="64" w:type="dxa"/>
              <w:right w:w="64" w:type="dxa"/>
            </w:tcMar>
            <w:hideMark/>
          </w:tcPr>
          <w:p w:rsidR="00E50F2F" w:rsidRPr="00E02DF8" w:rsidRDefault="00E50F2F" w:rsidP="00E50F2F">
            <w:pPr>
              <w:shd w:val="clear" w:color="auto" w:fill="FFFFFF"/>
              <w:spacing w:after="60" w:line="240" w:lineRule="auto"/>
              <w:jc w:val="both"/>
              <w:rPr>
                <w:rFonts w:ascii="Arial" w:eastAsia="Times New Roman" w:hAnsi="Arial" w:cs="Arial"/>
                <w:kern w:val="0"/>
                <w:lang w:eastAsia="en-GB"/>
                <w14:ligatures w14:val="none"/>
              </w:rPr>
            </w:pPr>
          </w:p>
        </w:tc>
      </w:tr>
      <w:tr w:rsidR="00E50F2F" w:rsidRPr="00E02DF8" w:rsidTr="00E50F2F">
        <w:trPr>
          <w:trHeight w:val="400"/>
        </w:trPr>
        <w:tc>
          <w:tcPr>
            <w:tcW w:w="0" w:type="auto"/>
            <w:vMerge/>
            <w:tcBorders>
              <w:top w:val="single" w:sz="8" w:space="0" w:color="B7B7B7"/>
              <w:bottom w:val="single" w:sz="8" w:space="0" w:color="000000"/>
            </w:tcBorders>
            <w:vAlign w:val="center"/>
            <w:hideMark/>
          </w:tcPr>
          <w:p w:rsidR="00E50F2F" w:rsidRPr="00E02DF8" w:rsidRDefault="00E50F2F" w:rsidP="00E50F2F">
            <w:pPr>
              <w:spacing w:after="0" w:line="240" w:lineRule="auto"/>
              <w:rPr>
                <w:rFonts w:ascii="Arial" w:eastAsia="Times New Roman" w:hAnsi="Arial" w:cs="Arial"/>
                <w:kern w:val="0"/>
                <w:lang w:eastAsia="en-GB"/>
                <w14:ligatures w14:val="none"/>
              </w:rPr>
            </w:pPr>
          </w:p>
        </w:tc>
        <w:tc>
          <w:tcPr>
            <w:tcW w:w="0" w:type="auto"/>
            <w:tcBorders>
              <w:bottom w:val="single" w:sz="8" w:space="0" w:color="B7B7B7"/>
            </w:tcBorders>
            <w:tcMar>
              <w:top w:w="64" w:type="dxa"/>
              <w:left w:w="64" w:type="dxa"/>
              <w:bottom w:w="64" w:type="dxa"/>
              <w:right w:w="64" w:type="dxa"/>
            </w:tcMar>
            <w:hideMark/>
          </w:tcPr>
          <w:p w:rsidR="00E50F2F" w:rsidRPr="00E02DF8" w:rsidRDefault="00E50F2F" w:rsidP="00E50F2F">
            <w:pPr>
              <w:spacing w:after="0" w:line="240" w:lineRule="auto"/>
              <w:rPr>
                <w:rFonts w:ascii="Arial" w:eastAsia="Times New Roman" w:hAnsi="Arial" w:cs="Arial"/>
                <w:kern w:val="0"/>
                <w:lang w:eastAsia="en-GB"/>
                <w14:ligatures w14:val="none"/>
              </w:rPr>
            </w:pPr>
            <w:r w:rsidRPr="00E02DF8">
              <w:rPr>
                <w:rFonts w:ascii="Arial" w:eastAsia="Times New Roman" w:hAnsi="Arial" w:cs="Arial"/>
                <w:color w:val="000000"/>
                <w:kern w:val="0"/>
                <w:sz w:val="18"/>
                <w:szCs w:val="18"/>
                <w:lang w:eastAsia="en-GB"/>
                <w14:ligatures w14:val="none"/>
              </w:rPr>
              <w:t>4.2 </w:t>
            </w:r>
          </w:p>
        </w:tc>
        <w:tc>
          <w:tcPr>
            <w:tcW w:w="3671" w:type="dxa"/>
            <w:tcBorders>
              <w:bottom w:val="single" w:sz="8" w:space="0" w:color="B7B7B7"/>
            </w:tcBorders>
            <w:tcMar>
              <w:top w:w="64" w:type="dxa"/>
              <w:left w:w="64" w:type="dxa"/>
              <w:bottom w:w="64" w:type="dxa"/>
              <w:right w:w="64" w:type="dxa"/>
            </w:tcMar>
            <w:hideMark/>
          </w:tcPr>
          <w:p w:rsidR="00E50F2F" w:rsidRPr="00E02DF8" w:rsidRDefault="00E50F2F" w:rsidP="00E50F2F">
            <w:pPr>
              <w:shd w:val="clear" w:color="auto" w:fill="FFFFFF"/>
              <w:spacing w:after="60" w:line="240" w:lineRule="auto"/>
              <w:jc w:val="both"/>
              <w:rPr>
                <w:rFonts w:ascii="Arial" w:eastAsia="Times New Roman" w:hAnsi="Arial" w:cs="Arial"/>
                <w:kern w:val="0"/>
                <w:lang w:eastAsia="en-GB"/>
                <w14:ligatures w14:val="none"/>
              </w:rPr>
            </w:pPr>
            <w:r w:rsidRPr="00E02DF8">
              <w:rPr>
                <w:rFonts w:ascii="Arial" w:eastAsia="Times New Roman" w:hAnsi="Arial" w:cs="Arial"/>
                <w:b/>
                <w:bCs/>
                <w:color w:val="000000"/>
                <w:kern w:val="0"/>
                <w:sz w:val="18"/>
                <w:szCs w:val="18"/>
                <w:lang w:eastAsia="en-GB"/>
                <w14:ligatures w14:val="none"/>
              </w:rPr>
              <w:t xml:space="preserve">The validity and standard. </w:t>
            </w:r>
            <w:r w:rsidRPr="00E02DF8">
              <w:rPr>
                <w:rFonts w:ascii="Arial" w:eastAsia="Times New Roman" w:hAnsi="Arial" w:cs="Arial"/>
                <w:color w:val="000000"/>
                <w:kern w:val="0"/>
                <w:sz w:val="18"/>
                <w:szCs w:val="18"/>
                <w:lang w:eastAsia="en-GB"/>
                <w14:ligatures w14:val="none"/>
              </w:rPr>
              <w:t xml:space="preserve">Reflect on the degree of validity and describe the standard that the method aims to achieve, </w:t>
            </w:r>
            <w:r w:rsidRPr="00E02DF8">
              <w:rPr>
                <w:rFonts w:ascii="Arial" w:eastAsia="Times New Roman" w:hAnsi="Arial" w:cs="Arial"/>
                <w:i/>
                <w:iCs/>
                <w:color w:val="000000"/>
                <w:kern w:val="0"/>
                <w:sz w:val="18"/>
                <w:szCs w:val="18"/>
                <w:lang w:eastAsia="en-GB"/>
                <w14:ligatures w14:val="none"/>
              </w:rPr>
              <w:t>how</w:t>
            </w:r>
            <w:r w:rsidRPr="00E02DF8">
              <w:rPr>
                <w:rFonts w:ascii="Arial" w:eastAsia="Times New Roman" w:hAnsi="Arial" w:cs="Arial"/>
                <w:color w:val="000000"/>
                <w:kern w:val="0"/>
                <w:sz w:val="18"/>
                <w:szCs w:val="18"/>
                <w:lang w:eastAsia="en-GB"/>
                <w14:ligatures w14:val="none"/>
              </w:rPr>
              <w:t xml:space="preserve"> well the assessment method measures up to that degree, and how it compares with current standards.</w:t>
            </w:r>
          </w:p>
        </w:tc>
        <w:tc>
          <w:tcPr>
            <w:tcW w:w="3062" w:type="dxa"/>
            <w:tcBorders>
              <w:bottom w:val="single" w:sz="8" w:space="0" w:color="B7B7B7"/>
            </w:tcBorders>
            <w:tcMar>
              <w:top w:w="64" w:type="dxa"/>
              <w:left w:w="64" w:type="dxa"/>
              <w:bottom w:w="64" w:type="dxa"/>
              <w:right w:w="64" w:type="dxa"/>
            </w:tcMar>
            <w:hideMark/>
          </w:tcPr>
          <w:p w:rsidR="00E50F2F" w:rsidRPr="00E02DF8" w:rsidRDefault="00E50F2F" w:rsidP="00E50F2F">
            <w:pPr>
              <w:shd w:val="clear" w:color="auto" w:fill="FFFFFF"/>
              <w:spacing w:after="60" w:line="240" w:lineRule="auto"/>
              <w:jc w:val="both"/>
              <w:rPr>
                <w:rFonts w:ascii="Arial" w:eastAsia="Times New Roman" w:hAnsi="Arial" w:cs="Arial"/>
                <w:kern w:val="0"/>
                <w:lang w:eastAsia="en-GB"/>
                <w14:ligatures w14:val="none"/>
              </w:rPr>
            </w:pPr>
          </w:p>
        </w:tc>
      </w:tr>
    </w:tbl>
    <w:p w:rsidR="00E50F2F" w:rsidRPr="00E02DF8" w:rsidRDefault="00E50F2F">
      <w:pPr>
        <w:rPr>
          <w:rFonts w:ascii="Arial" w:hAnsi="Arial" w:cs="Arial"/>
          <w:color w:val="000000" w:themeColor="text1"/>
        </w:rPr>
      </w:pPr>
      <w:r w:rsidRPr="00E02DF8">
        <w:rPr>
          <w:rFonts w:ascii="Arial" w:eastAsia="Times New Roman" w:hAnsi="Arial" w:cs="Arial"/>
          <w:color w:val="000000" w:themeColor="text1"/>
          <w:kern w:val="0"/>
          <w:sz w:val="22"/>
          <w:szCs w:val="22"/>
          <w:vertAlign w:val="superscript"/>
          <w:lang w:eastAsia="en-GB"/>
          <w14:ligatures w14:val="none"/>
        </w:rPr>
        <w:t>1</w:t>
      </w:r>
      <w:r w:rsidRPr="00E02DF8">
        <w:rPr>
          <w:rFonts w:ascii="Arial" w:eastAsia="Times New Roman" w:hAnsi="Arial" w:cs="Arial"/>
          <w:i/>
          <w:iCs/>
          <w:color w:val="000000" w:themeColor="text1"/>
          <w:kern w:val="0"/>
          <w:sz w:val="20"/>
          <w:szCs w:val="20"/>
          <w:lang w:eastAsia="en-GB"/>
          <w14:ligatures w14:val="none"/>
        </w:rPr>
        <w:t xml:space="preserve"> </w:t>
      </w:r>
      <w:r w:rsidRPr="00E02DF8">
        <w:rPr>
          <w:rFonts w:ascii="Arial" w:eastAsia="Times New Roman" w:hAnsi="Arial" w:cs="Arial"/>
          <w:color w:val="000000" w:themeColor="text1"/>
          <w:kern w:val="0"/>
          <w:sz w:val="20"/>
          <w:szCs w:val="20"/>
          <w:lang w:eastAsia="en-GB"/>
          <w14:ligatures w14:val="none"/>
        </w:rPr>
        <w:t xml:space="preserve">See Table 1 in the LEADING guideline for reporting instructions and reporting examples. We recommend including the completed template as an appendix to the research report. This provides readers and reviewers with an accessible overview and ensures all standards are reported. Avoid simply answering yes or no to the standards when you instead can (succinctly) </w:t>
      </w:r>
      <w:r w:rsidRPr="00E02DF8">
        <w:rPr>
          <w:rFonts w:ascii="Arial" w:eastAsia="Times New Roman" w:hAnsi="Arial" w:cs="Arial"/>
          <w:i/>
          <w:iCs/>
          <w:color w:val="000000" w:themeColor="text1"/>
          <w:kern w:val="0"/>
          <w:sz w:val="20"/>
          <w:szCs w:val="20"/>
          <w:lang w:eastAsia="en-GB"/>
          <w14:ligatures w14:val="none"/>
        </w:rPr>
        <w:t>describe</w:t>
      </w:r>
      <w:r w:rsidRPr="00E02DF8">
        <w:rPr>
          <w:rFonts w:ascii="Arial" w:eastAsia="Times New Roman" w:hAnsi="Arial" w:cs="Arial"/>
          <w:color w:val="000000" w:themeColor="text1"/>
          <w:kern w:val="0"/>
          <w:sz w:val="20"/>
          <w:szCs w:val="20"/>
          <w:lang w:eastAsia="en-GB"/>
          <w14:ligatures w14:val="none"/>
        </w:rPr>
        <w:t xml:space="preserve"> justifications and courses of action. Not all of the reporting standards will be applicable to all types of studies – however, it is typically better to describe how a standard is not applicable than to leave the information out.</w:t>
      </w:r>
    </w:p>
    <w:sectPr w:rsidR="00E50F2F" w:rsidRPr="00E02D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F2F"/>
    <w:rsid w:val="0076639B"/>
    <w:rsid w:val="00A275CC"/>
    <w:rsid w:val="00E02DF8"/>
    <w:rsid w:val="00E50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1D46F21-E148-4941-892E-2EB6DF4C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F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50F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0F2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0F2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0F2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0F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0F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0F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0F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F2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50F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50F2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50F2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0F2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0F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0F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0F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0F2F"/>
    <w:rPr>
      <w:rFonts w:eastAsiaTheme="majorEastAsia" w:cstheme="majorBidi"/>
      <w:color w:val="272727" w:themeColor="text1" w:themeTint="D8"/>
    </w:rPr>
  </w:style>
  <w:style w:type="paragraph" w:styleId="Title">
    <w:name w:val="Title"/>
    <w:basedOn w:val="Normal"/>
    <w:next w:val="Normal"/>
    <w:link w:val="TitleChar"/>
    <w:uiPriority w:val="10"/>
    <w:qFormat/>
    <w:rsid w:val="00E50F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0F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0F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0F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0F2F"/>
    <w:pPr>
      <w:spacing w:before="160"/>
      <w:jc w:val="center"/>
    </w:pPr>
    <w:rPr>
      <w:i/>
      <w:iCs/>
      <w:color w:val="404040" w:themeColor="text1" w:themeTint="BF"/>
    </w:rPr>
  </w:style>
  <w:style w:type="character" w:customStyle="1" w:styleId="QuoteChar">
    <w:name w:val="Quote Char"/>
    <w:basedOn w:val="DefaultParagraphFont"/>
    <w:link w:val="Quote"/>
    <w:uiPriority w:val="29"/>
    <w:rsid w:val="00E50F2F"/>
    <w:rPr>
      <w:i/>
      <w:iCs/>
      <w:color w:val="404040" w:themeColor="text1" w:themeTint="BF"/>
    </w:rPr>
  </w:style>
  <w:style w:type="paragraph" w:styleId="ListParagraph">
    <w:name w:val="List Paragraph"/>
    <w:basedOn w:val="Normal"/>
    <w:uiPriority w:val="34"/>
    <w:qFormat/>
    <w:rsid w:val="00E50F2F"/>
    <w:pPr>
      <w:ind w:left="720"/>
      <w:contextualSpacing/>
    </w:pPr>
  </w:style>
  <w:style w:type="character" w:styleId="IntenseEmphasis">
    <w:name w:val="Intense Emphasis"/>
    <w:basedOn w:val="DefaultParagraphFont"/>
    <w:uiPriority w:val="21"/>
    <w:qFormat/>
    <w:rsid w:val="00E50F2F"/>
    <w:rPr>
      <w:i/>
      <w:iCs/>
      <w:color w:val="2F5496" w:themeColor="accent1" w:themeShade="BF"/>
    </w:rPr>
  </w:style>
  <w:style w:type="paragraph" w:styleId="IntenseQuote">
    <w:name w:val="Intense Quote"/>
    <w:basedOn w:val="Normal"/>
    <w:next w:val="Normal"/>
    <w:link w:val="IntenseQuoteChar"/>
    <w:uiPriority w:val="30"/>
    <w:qFormat/>
    <w:rsid w:val="00E50F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0F2F"/>
    <w:rPr>
      <w:i/>
      <w:iCs/>
      <w:color w:val="2F5496" w:themeColor="accent1" w:themeShade="BF"/>
    </w:rPr>
  </w:style>
  <w:style w:type="character" w:styleId="IntenseReference">
    <w:name w:val="Intense Reference"/>
    <w:basedOn w:val="DefaultParagraphFont"/>
    <w:uiPriority w:val="32"/>
    <w:qFormat/>
    <w:rsid w:val="00E50F2F"/>
    <w:rPr>
      <w:b/>
      <w:bCs/>
      <w:smallCaps/>
      <w:color w:val="2F5496" w:themeColor="accent1" w:themeShade="BF"/>
      <w:spacing w:val="5"/>
    </w:rPr>
  </w:style>
  <w:style w:type="paragraph" w:styleId="NormalWeb">
    <w:name w:val="Normal (Web)"/>
    <w:basedOn w:val="Normal"/>
    <w:uiPriority w:val="99"/>
    <w:semiHidden/>
    <w:unhideWhenUsed/>
    <w:rsid w:val="00E50F2F"/>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14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660</Words>
  <Characters>3768</Characters>
  <Application>Microsoft Office Word</Application>
  <DocSecurity>0</DocSecurity>
  <Lines>31</Lines>
  <Paragraphs>8</Paragraphs>
  <ScaleCrop>false</ScaleCrop>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Veerle Eijsbroek</dc:creator>
  <cp:keywords/>
  <dc:description/>
  <cp:lastModifiedBy>Veerle Eijsbroek</cp:lastModifiedBy>
  <cp:revision>2</cp:revision>
  <dcterms:created xsi:type="dcterms:W3CDTF">2025-04-22T07:55:00Z</dcterms:created>
  <dcterms:modified xsi:type="dcterms:W3CDTF">2025-04-23T13:28:00Z</dcterms:modified>
</cp:coreProperties>
</file>